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8E78" w14:textId="19604877" w:rsidR="00105034" w:rsidRDefault="00E4427D" w:rsidP="007B349B">
      <w:pPr>
        <w:spacing w:after="0"/>
        <w:ind w:left="708"/>
        <w:rPr>
          <w:b/>
          <w:sz w:val="36"/>
          <w:szCs w:val="36"/>
        </w:rPr>
      </w:pPr>
      <w:r>
        <w:rPr>
          <w:noProof/>
          <w:lang w:val="en-US"/>
        </w:rPr>
        <w:drawing>
          <wp:inline distT="0" distB="0" distL="0" distR="0" wp14:anchorId="5AAA22CF" wp14:editId="645BD815">
            <wp:extent cx="1571625" cy="5715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r w:rsidR="00EB503B">
        <w:rPr>
          <w:b/>
          <w:sz w:val="36"/>
          <w:szCs w:val="36"/>
        </w:rPr>
        <w:t xml:space="preserve">    </w:t>
      </w:r>
      <w:r w:rsidR="00EB503B" w:rsidRPr="00B53B41">
        <w:rPr>
          <w:noProof/>
          <w:lang w:val="en-US"/>
        </w:rPr>
        <w:drawing>
          <wp:inline distT="0" distB="0" distL="0" distR="0" wp14:anchorId="28258B05" wp14:editId="4381A5E4">
            <wp:extent cx="1247775" cy="78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44"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083" cy="781243"/>
                    </a:xfrm>
                    <a:prstGeom prst="rect">
                      <a:avLst/>
                    </a:prstGeom>
                    <a:noFill/>
                    <a:ln>
                      <a:noFill/>
                    </a:ln>
                    <a:extLst/>
                  </pic:spPr>
                </pic:pic>
              </a:graphicData>
            </a:graphic>
          </wp:inline>
        </w:drawing>
      </w:r>
      <w:r w:rsidR="00EB503B">
        <w:rPr>
          <w:b/>
          <w:sz w:val="36"/>
          <w:szCs w:val="36"/>
        </w:rPr>
        <w:t xml:space="preserve">  </w:t>
      </w:r>
      <w:r>
        <w:rPr>
          <w:b/>
          <w:sz w:val="36"/>
          <w:szCs w:val="36"/>
        </w:rPr>
        <w:t xml:space="preserve"> </w:t>
      </w:r>
      <w:r w:rsidR="007B349B">
        <w:rPr>
          <w:b/>
          <w:noProof/>
          <w:sz w:val="36"/>
          <w:szCs w:val="36"/>
          <w:lang w:val="en-US"/>
        </w:rPr>
        <w:drawing>
          <wp:inline distT="0" distB="0" distL="0" distR="0" wp14:anchorId="62004394" wp14:editId="0C217A4B">
            <wp:extent cx="1371600" cy="570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GHN22-102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4555" cy="584581"/>
                    </a:xfrm>
                    <a:prstGeom prst="rect">
                      <a:avLst/>
                    </a:prstGeom>
                  </pic:spPr>
                </pic:pic>
              </a:graphicData>
            </a:graphic>
          </wp:inline>
        </w:drawing>
      </w:r>
      <w:r w:rsidR="007B349B">
        <w:rPr>
          <w:noProof/>
          <w:lang w:val="en-US"/>
        </w:rPr>
        <w:drawing>
          <wp:inline distT="0" distB="0" distL="0" distR="0" wp14:anchorId="4C174085" wp14:editId="4D7205CC">
            <wp:extent cx="1619250" cy="771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771525"/>
                    </a:xfrm>
                    <a:prstGeom prst="rect">
                      <a:avLst/>
                    </a:prstGeom>
                    <a:noFill/>
                    <a:ln>
                      <a:noFill/>
                    </a:ln>
                  </pic:spPr>
                </pic:pic>
              </a:graphicData>
            </a:graphic>
          </wp:inline>
        </w:drawing>
      </w:r>
    </w:p>
    <w:p w14:paraId="0DA2564E" w14:textId="77777777" w:rsidR="00E4427D" w:rsidRDefault="007B349B" w:rsidP="007B17E0">
      <w:pPr>
        <w:spacing w:after="0"/>
        <w:ind w:left="2832" w:firstLine="708"/>
        <w:rPr>
          <w:b/>
          <w:sz w:val="36"/>
          <w:szCs w:val="36"/>
        </w:rPr>
      </w:pPr>
      <w:r>
        <w:rPr>
          <w:noProof/>
          <w:lang w:val="en-US"/>
        </w:rPr>
        <w:drawing>
          <wp:inline distT="0" distB="0" distL="0" distR="0" wp14:anchorId="7EF877FF" wp14:editId="3B27960D">
            <wp:extent cx="2543175" cy="552450"/>
            <wp:effectExtent l="0" t="0" r="9525" b="0"/>
            <wp:docPr id="1" name="Imagen 1" descr="logo redc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ce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175" cy="552450"/>
                    </a:xfrm>
                    <a:prstGeom prst="rect">
                      <a:avLst/>
                    </a:prstGeom>
                    <a:noFill/>
                    <a:ln>
                      <a:noFill/>
                    </a:ln>
                  </pic:spPr>
                </pic:pic>
              </a:graphicData>
            </a:graphic>
          </wp:inline>
        </w:drawing>
      </w:r>
    </w:p>
    <w:p w14:paraId="27D5B778" w14:textId="77777777" w:rsidR="000061CC" w:rsidRDefault="000061CC" w:rsidP="00EB503B">
      <w:pPr>
        <w:pStyle w:val="BodyText"/>
        <w:spacing w:after="120"/>
        <w:jc w:val="center"/>
        <w:rPr>
          <w:rFonts w:ascii="Arial" w:hAnsi="Arial" w:cs="Arial"/>
          <w:b/>
          <w:bCs/>
          <w:i w:val="0"/>
          <w:sz w:val="32"/>
          <w:szCs w:val="32"/>
          <w:u w:val="single"/>
        </w:rPr>
      </w:pPr>
    </w:p>
    <w:p w14:paraId="4CEC34DC" w14:textId="0CD5A721" w:rsidR="007C6074" w:rsidRPr="003F7320" w:rsidRDefault="007C6074" w:rsidP="007C6074">
      <w:pPr>
        <w:pStyle w:val="BodyText"/>
        <w:spacing w:after="120"/>
        <w:jc w:val="center"/>
        <w:rPr>
          <w:rFonts w:ascii="Arial" w:hAnsi="Arial" w:cs="Arial"/>
          <w:b/>
          <w:sz w:val="32"/>
          <w:szCs w:val="32"/>
          <w:lang w:val="en-US"/>
        </w:rPr>
      </w:pPr>
      <w:r w:rsidRPr="007C6074">
        <w:rPr>
          <w:rFonts w:ascii="Arial" w:hAnsi="Arial" w:cs="Arial"/>
          <w:b/>
          <w:bCs/>
          <w:i w:val="0"/>
          <w:sz w:val="32"/>
          <w:szCs w:val="32"/>
          <w:lang w:val="en-US"/>
        </w:rPr>
        <w:t xml:space="preserve">International Workshop on Research Ethics: New Challenges Executive Summary </w:t>
      </w:r>
    </w:p>
    <w:p w14:paraId="376B3B27" w14:textId="797AE69B" w:rsidR="000061CC" w:rsidRPr="003F7320" w:rsidRDefault="000061CC" w:rsidP="007C6074">
      <w:pPr>
        <w:spacing w:after="0"/>
        <w:rPr>
          <w:rFonts w:ascii="Arial" w:hAnsi="Arial" w:cs="Arial"/>
          <w:b/>
          <w:sz w:val="32"/>
          <w:szCs w:val="32"/>
          <w:lang w:val="en-US"/>
        </w:rPr>
      </w:pPr>
    </w:p>
    <w:p w14:paraId="27C90A88" w14:textId="3C430F25" w:rsidR="000061CC" w:rsidRPr="007C6074" w:rsidRDefault="007C6074" w:rsidP="00B173D8">
      <w:pPr>
        <w:spacing w:after="0"/>
        <w:jc w:val="both"/>
        <w:rPr>
          <w:rFonts w:ascii="Arial" w:hAnsi="Arial" w:cs="Arial"/>
          <w:sz w:val="24"/>
          <w:szCs w:val="24"/>
          <w:lang w:val="en-US"/>
        </w:rPr>
      </w:pPr>
      <w:r w:rsidRPr="007C6074">
        <w:rPr>
          <w:rFonts w:ascii="Arial" w:hAnsi="Arial" w:cs="Arial"/>
          <w:sz w:val="24"/>
          <w:szCs w:val="24"/>
          <w:lang w:val="en-US"/>
        </w:rPr>
        <w:t>The International Workshop on Research Ethics: New Challenges was held in Lima, Peru from 28 to 29 August 2018.</w:t>
      </w:r>
    </w:p>
    <w:p w14:paraId="66A5C232" w14:textId="77777777" w:rsidR="000061CC" w:rsidRPr="007C6074" w:rsidRDefault="000061CC" w:rsidP="00B173D8">
      <w:pPr>
        <w:spacing w:after="0"/>
        <w:jc w:val="both"/>
        <w:rPr>
          <w:rFonts w:ascii="Arial" w:hAnsi="Arial" w:cs="Arial"/>
          <w:sz w:val="24"/>
          <w:szCs w:val="24"/>
          <w:lang w:val="en-US"/>
        </w:rPr>
      </w:pPr>
    </w:p>
    <w:p w14:paraId="0017DA40" w14:textId="7E9E219E" w:rsidR="000061CC" w:rsidRPr="007C6074" w:rsidRDefault="007C6074" w:rsidP="00B173D8">
      <w:pPr>
        <w:spacing w:after="0"/>
        <w:jc w:val="both"/>
        <w:rPr>
          <w:rFonts w:ascii="Arial" w:hAnsi="Arial" w:cs="Arial"/>
          <w:sz w:val="24"/>
          <w:szCs w:val="24"/>
          <w:lang w:val="en-US"/>
        </w:rPr>
      </w:pPr>
      <w:r w:rsidRPr="007C6074">
        <w:rPr>
          <w:rFonts w:ascii="Arial" w:hAnsi="Arial" w:cs="Arial"/>
          <w:sz w:val="24"/>
          <w:szCs w:val="24"/>
          <w:lang w:val="en-US"/>
        </w:rPr>
        <w:t xml:space="preserve">This event was jointly organized by the Latin American Forum for Research Ethics Committees (FLACEIS per initials in Spanish), the Peruvian IRB Network (REDCEI), </w:t>
      </w:r>
      <w:r>
        <w:rPr>
          <w:rFonts w:ascii="Arial" w:hAnsi="Arial" w:cs="Arial"/>
          <w:sz w:val="24"/>
          <w:szCs w:val="24"/>
          <w:lang w:val="en-US"/>
        </w:rPr>
        <w:t>and</w:t>
      </w:r>
      <w:r w:rsidR="000061CC" w:rsidRPr="007C6074">
        <w:rPr>
          <w:rFonts w:ascii="Arial" w:hAnsi="Arial" w:cs="Arial"/>
          <w:sz w:val="24"/>
          <w:szCs w:val="24"/>
          <w:lang w:val="en-US"/>
        </w:rPr>
        <w:t xml:space="preserve"> Universidad Peruana </w:t>
      </w:r>
      <w:proofErr w:type="spellStart"/>
      <w:r w:rsidR="000061CC" w:rsidRPr="007C6074">
        <w:rPr>
          <w:rFonts w:ascii="Arial" w:hAnsi="Arial" w:cs="Arial"/>
          <w:sz w:val="24"/>
          <w:szCs w:val="24"/>
          <w:lang w:val="en-US"/>
        </w:rPr>
        <w:t>Cayetano</w:t>
      </w:r>
      <w:proofErr w:type="spellEnd"/>
      <w:r w:rsidR="000061CC" w:rsidRPr="007C6074">
        <w:rPr>
          <w:rFonts w:ascii="Arial" w:hAnsi="Arial" w:cs="Arial"/>
          <w:sz w:val="24"/>
          <w:szCs w:val="24"/>
          <w:lang w:val="en-US"/>
        </w:rPr>
        <w:t xml:space="preserve"> Heredia, </w:t>
      </w:r>
      <w:r>
        <w:rPr>
          <w:rFonts w:ascii="Arial" w:hAnsi="Arial" w:cs="Arial"/>
          <w:sz w:val="24"/>
          <w:szCs w:val="24"/>
          <w:lang w:val="en-US"/>
        </w:rPr>
        <w:t xml:space="preserve">with the sponsorship of </w:t>
      </w:r>
      <w:r w:rsidR="000061CC" w:rsidRPr="007C6074">
        <w:rPr>
          <w:rFonts w:ascii="Arial" w:hAnsi="Arial" w:cs="Arial"/>
          <w:sz w:val="24"/>
          <w:szCs w:val="24"/>
          <w:lang w:val="en-US"/>
        </w:rPr>
        <w:t xml:space="preserve"> The Global Health Network</w:t>
      </w:r>
      <w:r w:rsidR="000172AD" w:rsidRPr="007C6074">
        <w:rPr>
          <w:rFonts w:ascii="Arial" w:hAnsi="Arial" w:cs="Arial"/>
          <w:sz w:val="24"/>
          <w:szCs w:val="24"/>
          <w:lang w:val="en-US"/>
        </w:rPr>
        <w:t xml:space="preserve">, </w:t>
      </w:r>
      <w:r w:rsidR="00B173D8" w:rsidRPr="007C6074">
        <w:rPr>
          <w:rFonts w:ascii="Arial" w:hAnsi="Arial" w:cs="Arial"/>
          <w:sz w:val="24"/>
          <w:szCs w:val="24"/>
          <w:lang w:val="en-US"/>
        </w:rPr>
        <w:t>EDUPYME</w:t>
      </w:r>
      <w:r>
        <w:rPr>
          <w:rFonts w:ascii="Arial" w:hAnsi="Arial" w:cs="Arial"/>
          <w:sz w:val="24"/>
          <w:szCs w:val="24"/>
          <w:lang w:val="en-US"/>
        </w:rPr>
        <w:t xml:space="preserve"> and</w:t>
      </w:r>
      <w:r w:rsidR="000061CC" w:rsidRPr="007C6074">
        <w:rPr>
          <w:rFonts w:ascii="Arial" w:hAnsi="Arial" w:cs="Arial"/>
          <w:sz w:val="24"/>
          <w:szCs w:val="24"/>
          <w:lang w:val="en-US"/>
        </w:rPr>
        <w:t xml:space="preserve"> EMERGE</w:t>
      </w:r>
      <w:r w:rsidR="005D08A4" w:rsidRPr="007C6074">
        <w:rPr>
          <w:rFonts w:ascii="Arial" w:hAnsi="Arial" w:cs="Arial"/>
          <w:sz w:val="24"/>
          <w:szCs w:val="24"/>
          <w:lang w:val="en-US"/>
        </w:rPr>
        <w:t xml:space="preserve">, </w:t>
      </w:r>
      <w:r>
        <w:rPr>
          <w:rFonts w:ascii="Arial" w:hAnsi="Arial" w:cs="Arial"/>
          <w:sz w:val="24"/>
          <w:szCs w:val="24"/>
          <w:lang w:val="en-US"/>
        </w:rPr>
        <w:t xml:space="preserve">without their support, this event could not have been held. </w:t>
      </w:r>
      <w:r w:rsidR="000061CC" w:rsidRPr="007C6074">
        <w:rPr>
          <w:rFonts w:ascii="Arial" w:hAnsi="Arial" w:cs="Arial"/>
          <w:sz w:val="24"/>
          <w:szCs w:val="24"/>
          <w:lang w:val="en-US"/>
        </w:rPr>
        <w:t xml:space="preserve"> </w:t>
      </w:r>
    </w:p>
    <w:p w14:paraId="2E1C73D0" w14:textId="5DD8E6C3" w:rsidR="004255EF" w:rsidRPr="007C6074" w:rsidRDefault="004255EF" w:rsidP="00B173D8">
      <w:pPr>
        <w:spacing w:after="0"/>
        <w:jc w:val="both"/>
        <w:rPr>
          <w:rFonts w:ascii="Arial" w:hAnsi="Arial" w:cs="Arial"/>
          <w:sz w:val="24"/>
          <w:szCs w:val="24"/>
          <w:lang w:val="en-US"/>
        </w:rPr>
      </w:pPr>
      <w:r w:rsidRPr="007C6074">
        <w:rPr>
          <w:rFonts w:ascii="Arial" w:hAnsi="Arial" w:cs="Arial"/>
          <w:sz w:val="24"/>
          <w:szCs w:val="24"/>
          <w:lang w:val="en-US"/>
        </w:rPr>
        <w:br/>
      </w:r>
      <w:r w:rsidR="007C6074">
        <w:rPr>
          <w:rFonts w:ascii="Arial" w:hAnsi="Arial" w:cs="Arial"/>
          <w:sz w:val="24"/>
          <w:szCs w:val="24"/>
          <w:lang w:val="en-US"/>
        </w:rPr>
        <w:t>This collaborative educational activity among Peruvian and international organizations aimed at updating Peruvian IRB members and investigators on new study designs for clinical trials and their ethical aspects, as well as sharing with our international attendees the Peru progress in the regulatory system, how to work in IRB networks and the role of IRBs in scientific integrity issues.</w:t>
      </w:r>
      <w:r w:rsidRPr="007C6074">
        <w:rPr>
          <w:rFonts w:ascii="Arial" w:hAnsi="Arial" w:cs="Arial"/>
          <w:sz w:val="24"/>
          <w:szCs w:val="24"/>
          <w:lang w:val="en-US"/>
        </w:rPr>
        <w:t xml:space="preserve"> </w:t>
      </w:r>
    </w:p>
    <w:p w14:paraId="1493ACA3" w14:textId="77777777" w:rsidR="004255EF" w:rsidRPr="007C6074" w:rsidRDefault="004255EF" w:rsidP="00B173D8">
      <w:pPr>
        <w:spacing w:after="0"/>
        <w:jc w:val="both"/>
        <w:rPr>
          <w:rFonts w:ascii="Arial" w:hAnsi="Arial" w:cs="Arial"/>
          <w:sz w:val="24"/>
          <w:szCs w:val="24"/>
          <w:lang w:val="en-US"/>
        </w:rPr>
      </w:pPr>
    </w:p>
    <w:p w14:paraId="0052A191" w14:textId="47463898" w:rsidR="006B7BB0" w:rsidRPr="007B745D" w:rsidRDefault="007C6074" w:rsidP="007B745D">
      <w:pPr>
        <w:spacing w:after="0"/>
        <w:rPr>
          <w:rFonts w:ascii="Arial" w:hAnsi="Arial" w:cs="Arial"/>
          <w:sz w:val="24"/>
          <w:szCs w:val="24"/>
          <w:lang w:val="en-US"/>
        </w:rPr>
      </w:pPr>
      <w:r w:rsidRPr="007C6074">
        <w:rPr>
          <w:rFonts w:ascii="Arial" w:hAnsi="Arial" w:cs="Arial"/>
          <w:sz w:val="24"/>
          <w:szCs w:val="24"/>
          <w:lang w:val="en-US"/>
        </w:rPr>
        <w:t xml:space="preserve">The Global Forum for Bioethics in Research </w:t>
      </w:r>
      <w:r w:rsidR="006B7BB0" w:rsidRPr="007C6074">
        <w:rPr>
          <w:rFonts w:ascii="Arial" w:hAnsi="Arial" w:cs="Arial"/>
          <w:sz w:val="24"/>
          <w:szCs w:val="24"/>
          <w:lang w:val="en-US"/>
        </w:rPr>
        <w:t xml:space="preserve">(GFBR, </w:t>
      </w:r>
      <w:r w:rsidRPr="007C6074">
        <w:rPr>
          <w:rFonts w:ascii="Arial" w:hAnsi="Arial" w:cs="Arial"/>
          <w:sz w:val="24"/>
          <w:szCs w:val="24"/>
          <w:lang w:val="en-US"/>
        </w:rPr>
        <w:t>per initials in English</w:t>
      </w:r>
      <w:r w:rsidR="006B7BB0" w:rsidRPr="007C6074">
        <w:rPr>
          <w:rFonts w:ascii="Arial" w:hAnsi="Arial" w:cs="Arial"/>
          <w:sz w:val="24"/>
          <w:szCs w:val="24"/>
          <w:lang w:val="en-US"/>
        </w:rPr>
        <w:t xml:space="preserve">) </w:t>
      </w:r>
      <w:r w:rsidRPr="007C6074">
        <w:rPr>
          <w:rFonts w:ascii="Arial" w:hAnsi="Arial" w:cs="Arial"/>
          <w:sz w:val="24"/>
          <w:szCs w:val="24"/>
          <w:lang w:val="en-US"/>
        </w:rPr>
        <w:t xml:space="preserve">gathered in November 2017 in Thailand under a central theme: </w:t>
      </w:r>
      <w:r w:rsidRPr="007C6074">
        <w:rPr>
          <w:rFonts w:ascii="Arial" w:hAnsi="Arial" w:cs="Arial"/>
          <w:b/>
          <w:i/>
          <w:sz w:val="24"/>
          <w:szCs w:val="24"/>
          <w:lang w:val="en-US"/>
        </w:rPr>
        <w:t xml:space="preserve">Alternative Study Design in Clinical Trials, </w:t>
      </w:r>
      <w:r w:rsidRPr="007C6074">
        <w:rPr>
          <w:rFonts w:ascii="Arial" w:hAnsi="Arial" w:cs="Arial"/>
          <w:sz w:val="24"/>
          <w:szCs w:val="24"/>
          <w:lang w:val="en-US"/>
        </w:rPr>
        <w:t xml:space="preserve">among them </w:t>
      </w:r>
      <w:r w:rsidR="007B745D" w:rsidRPr="00E7437F">
        <w:rPr>
          <w:rFonts w:ascii="Arial" w:hAnsi="Arial" w:cs="Arial"/>
          <w:sz w:val="24"/>
          <w:szCs w:val="24"/>
          <w:lang w:val="en-US"/>
        </w:rPr>
        <w:t>Cluster randomized trials</w:t>
      </w:r>
      <w:r w:rsidR="007B745D">
        <w:rPr>
          <w:rFonts w:ascii="Arial" w:hAnsi="Arial" w:cs="Arial"/>
          <w:sz w:val="24"/>
          <w:szCs w:val="24"/>
          <w:lang w:val="en-US"/>
        </w:rPr>
        <w:t>, S</w:t>
      </w:r>
      <w:r w:rsidR="007B745D" w:rsidRPr="00E7437F">
        <w:rPr>
          <w:rFonts w:ascii="Arial" w:hAnsi="Arial" w:cs="Arial"/>
          <w:sz w:val="24"/>
          <w:szCs w:val="24"/>
          <w:lang w:val="en-US"/>
        </w:rPr>
        <w:t>tepped wedge trials</w:t>
      </w:r>
      <w:r w:rsidR="007B745D">
        <w:rPr>
          <w:rFonts w:ascii="Arial" w:hAnsi="Arial" w:cs="Arial"/>
          <w:sz w:val="24"/>
          <w:szCs w:val="24"/>
          <w:lang w:val="en-US"/>
        </w:rPr>
        <w:t xml:space="preserve">, </w:t>
      </w:r>
      <w:proofErr w:type="spellStart"/>
      <w:r w:rsidR="007B745D" w:rsidRPr="00E7437F">
        <w:rPr>
          <w:rFonts w:ascii="Arial" w:hAnsi="Arial" w:cs="Arial"/>
          <w:sz w:val="24"/>
          <w:szCs w:val="24"/>
          <w:lang w:val="en-US"/>
        </w:rPr>
        <w:t>Adaptative</w:t>
      </w:r>
      <w:proofErr w:type="spellEnd"/>
      <w:r w:rsidR="007B745D" w:rsidRPr="00E7437F">
        <w:rPr>
          <w:rFonts w:ascii="Arial" w:hAnsi="Arial" w:cs="Arial"/>
          <w:sz w:val="24"/>
          <w:szCs w:val="24"/>
          <w:lang w:val="en-US"/>
        </w:rPr>
        <w:t xml:space="preserve"> platform trials</w:t>
      </w:r>
      <w:r w:rsidR="007B745D">
        <w:rPr>
          <w:rFonts w:ascii="Arial" w:hAnsi="Arial" w:cs="Arial"/>
          <w:sz w:val="24"/>
          <w:szCs w:val="24"/>
          <w:lang w:val="en-US"/>
        </w:rPr>
        <w:t xml:space="preserve"> and Controlled human</w:t>
      </w:r>
      <w:r w:rsidR="007B745D" w:rsidRPr="00E7437F">
        <w:rPr>
          <w:rFonts w:ascii="Arial" w:hAnsi="Arial" w:cs="Arial"/>
          <w:sz w:val="24"/>
          <w:szCs w:val="24"/>
          <w:lang w:val="en-US"/>
        </w:rPr>
        <w:t xml:space="preserve"> infection models o</w:t>
      </w:r>
      <w:r w:rsidR="007B745D">
        <w:rPr>
          <w:rFonts w:ascii="Arial" w:hAnsi="Arial" w:cs="Arial"/>
          <w:sz w:val="24"/>
          <w:szCs w:val="24"/>
          <w:lang w:val="en-US"/>
        </w:rPr>
        <w:t>r</w:t>
      </w:r>
      <w:r w:rsidR="007B745D" w:rsidRPr="00E7437F">
        <w:rPr>
          <w:rFonts w:ascii="Arial" w:hAnsi="Arial" w:cs="Arial"/>
          <w:sz w:val="24"/>
          <w:szCs w:val="24"/>
          <w:lang w:val="en-US"/>
        </w:rPr>
        <w:t xml:space="preserve"> CHIMs</w:t>
      </w:r>
      <w:r w:rsidR="006B7BB0" w:rsidRPr="007C6074">
        <w:rPr>
          <w:rFonts w:ascii="Arial" w:hAnsi="Arial" w:cs="Arial"/>
          <w:sz w:val="24"/>
          <w:szCs w:val="24"/>
          <w:lang w:val="en-US"/>
        </w:rPr>
        <w:t xml:space="preserve">.  </w:t>
      </w:r>
      <w:r w:rsidR="007B745D">
        <w:rPr>
          <w:rFonts w:ascii="Arial" w:hAnsi="Arial" w:cs="Arial"/>
          <w:sz w:val="24"/>
          <w:szCs w:val="24"/>
          <w:lang w:val="en-US"/>
        </w:rPr>
        <w:t>These designs are already in use in research protocols in other regions of the world and it is very important for our scientific community, -and the IRBs are part of it- to learn about them so they can evaluate the protocols adequately.</w:t>
      </w:r>
    </w:p>
    <w:p w14:paraId="7D0CDB90" w14:textId="77777777" w:rsidR="006B7BB0" w:rsidRDefault="006B7BB0" w:rsidP="00B173D8">
      <w:pPr>
        <w:spacing w:after="0"/>
        <w:jc w:val="both"/>
        <w:rPr>
          <w:rFonts w:ascii="Arial" w:hAnsi="Arial" w:cs="Arial"/>
          <w:sz w:val="24"/>
          <w:szCs w:val="24"/>
          <w:lang w:val="en-US"/>
        </w:rPr>
      </w:pPr>
    </w:p>
    <w:p w14:paraId="5A2624F0" w14:textId="38138524" w:rsidR="003F7320" w:rsidRPr="003F7320" w:rsidRDefault="003F7320" w:rsidP="003F7320">
      <w:pPr>
        <w:spacing w:after="0"/>
        <w:jc w:val="both"/>
        <w:rPr>
          <w:rFonts w:ascii="Arial" w:hAnsi="Arial" w:cs="Arial"/>
          <w:sz w:val="24"/>
          <w:szCs w:val="24"/>
          <w:lang w:val="en-US"/>
        </w:rPr>
      </w:pPr>
      <w:r w:rsidRPr="003F7320">
        <w:rPr>
          <w:rFonts w:ascii="Arial" w:hAnsi="Arial" w:cs="Arial"/>
          <w:sz w:val="24"/>
          <w:szCs w:val="24"/>
          <w:lang w:val="en-US"/>
        </w:rPr>
        <w:t>There were two keynote speak</w:t>
      </w:r>
      <w:r>
        <w:rPr>
          <w:rFonts w:ascii="Arial" w:hAnsi="Arial" w:cs="Arial"/>
          <w:sz w:val="24"/>
          <w:szCs w:val="24"/>
          <w:lang w:val="en-US"/>
        </w:rPr>
        <w:t>e</w:t>
      </w:r>
      <w:r w:rsidRPr="003F7320">
        <w:rPr>
          <w:rFonts w:ascii="Arial" w:hAnsi="Arial" w:cs="Arial"/>
          <w:sz w:val="24"/>
          <w:szCs w:val="24"/>
          <w:lang w:val="en-US"/>
        </w:rPr>
        <w:t xml:space="preserve">rs, </w:t>
      </w:r>
      <w:r w:rsidRPr="003F7320">
        <w:rPr>
          <w:rFonts w:ascii="Arial" w:hAnsi="Arial" w:cs="Arial"/>
          <w:sz w:val="24"/>
          <w:szCs w:val="24"/>
          <w:lang w:val="en-US"/>
        </w:rPr>
        <w:t xml:space="preserve">Dr. </w:t>
      </w:r>
      <w:proofErr w:type="spellStart"/>
      <w:r w:rsidRPr="003F7320">
        <w:rPr>
          <w:rFonts w:ascii="Arial" w:hAnsi="Arial" w:cs="Arial"/>
          <w:sz w:val="24"/>
          <w:szCs w:val="24"/>
          <w:lang w:val="en-US"/>
        </w:rPr>
        <w:t>Heinner</w:t>
      </w:r>
      <w:proofErr w:type="spellEnd"/>
      <w:r w:rsidRPr="003F7320">
        <w:rPr>
          <w:rFonts w:ascii="Arial" w:hAnsi="Arial" w:cs="Arial"/>
          <w:sz w:val="24"/>
          <w:szCs w:val="24"/>
          <w:lang w:val="en-US"/>
        </w:rPr>
        <w:t xml:space="preserve"> </w:t>
      </w:r>
      <w:proofErr w:type="spellStart"/>
      <w:r w:rsidRPr="003F7320">
        <w:rPr>
          <w:rFonts w:ascii="Arial" w:hAnsi="Arial" w:cs="Arial"/>
          <w:sz w:val="24"/>
          <w:szCs w:val="24"/>
          <w:lang w:val="en-US"/>
        </w:rPr>
        <w:t>Guio</w:t>
      </w:r>
      <w:proofErr w:type="spellEnd"/>
      <w:r w:rsidRPr="003F7320">
        <w:rPr>
          <w:rFonts w:ascii="Arial" w:hAnsi="Arial" w:cs="Arial"/>
          <w:sz w:val="24"/>
          <w:szCs w:val="24"/>
          <w:lang w:val="en-US"/>
        </w:rPr>
        <w:t xml:space="preserve"> </w:t>
      </w:r>
      <w:r w:rsidRPr="003F7320">
        <w:rPr>
          <w:rFonts w:ascii="Arial" w:hAnsi="Arial" w:cs="Arial"/>
          <w:sz w:val="24"/>
          <w:szCs w:val="24"/>
          <w:lang w:val="en-US"/>
        </w:rPr>
        <w:t>from the Peruvian National Institute of Health (INS and</w:t>
      </w:r>
      <w:r w:rsidRPr="003F7320">
        <w:rPr>
          <w:rFonts w:ascii="Arial" w:hAnsi="Arial" w:cs="Arial"/>
          <w:sz w:val="24"/>
          <w:szCs w:val="24"/>
          <w:lang w:val="en-US"/>
        </w:rPr>
        <w:t xml:space="preserve"> Dr. Ricardo Palacios, </w:t>
      </w:r>
      <w:r>
        <w:rPr>
          <w:rFonts w:ascii="Arial" w:hAnsi="Arial" w:cs="Arial"/>
          <w:sz w:val="24"/>
          <w:szCs w:val="24"/>
          <w:lang w:val="en-US"/>
        </w:rPr>
        <w:t xml:space="preserve">researchers from the </w:t>
      </w:r>
      <w:proofErr w:type="spellStart"/>
      <w:r>
        <w:rPr>
          <w:rFonts w:ascii="Arial" w:hAnsi="Arial" w:cs="Arial"/>
          <w:sz w:val="24"/>
          <w:szCs w:val="24"/>
          <w:lang w:val="en-US"/>
        </w:rPr>
        <w:t>Butantan</w:t>
      </w:r>
      <w:proofErr w:type="spellEnd"/>
      <w:r>
        <w:rPr>
          <w:rFonts w:ascii="Arial" w:hAnsi="Arial" w:cs="Arial"/>
          <w:sz w:val="24"/>
          <w:szCs w:val="24"/>
          <w:lang w:val="en-US"/>
        </w:rPr>
        <w:t xml:space="preserve"> </w:t>
      </w:r>
      <w:r w:rsidRPr="003F7320">
        <w:rPr>
          <w:rFonts w:ascii="Arial" w:hAnsi="Arial" w:cs="Arial"/>
          <w:sz w:val="24"/>
          <w:szCs w:val="24"/>
          <w:lang w:val="en-US"/>
        </w:rPr>
        <w:t>Institut</w:t>
      </w:r>
      <w:r>
        <w:rPr>
          <w:rFonts w:ascii="Arial" w:hAnsi="Arial" w:cs="Arial"/>
          <w:sz w:val="24"/>
          <w:szCs w:val="24"/>
          <w:lang w:val="en-US"/>
        </w:rPr>
        <w:t>e,</w:t>
      </w:r>
      <w:r w:rsidRPr="003F7320">
        <w:rPr>
          <w:rFonts w:ascii="Arial" w:hAnsi="Arial" w:cs="Arial"/>
          <w:sz w:val="24"/>
          <w:szCs w:val="24"/>
          <w:lang w:val="en-US"/>
        </w:rPr>
        <w:t xml:space="preserve"> Sao Paulo, </w:t>
      </w:r>
      <w:proofErr w:type="gramStart"/>
      <w:r w:rsidRPr="003F7320">
        <w:rPr>
          <w:rFonts w:ascii="Arial" w:hAnsi="Arial" w:cs="Arial"/>
          <w:sz w:val="24"/>
          <w:szCs w:val="24"/>
          <w:lang w:val="en-US"/>
        </w:rPr>
        <w:t>Bra</w:t>
      </w:r>
      <w:r>
        <w:rPr>
          <w:rFonts w:ascii="Arial" w:hAnsi="Arial" w:cs="Arial"/>
          <w:sz w:val="24"/>
          <w:szCs w:val="24"/>
          <w:lang w:val="en-US"/>
        </w:rPr>
        <w:t>z</w:t>
      </w:r>
      <w:r w:rsidRPr="003F7320">
        <w:rPr>
          <w:rFonts w:ascii="Arial" w:hAnsi="Arial" w:cs="Arial"/>
          <w:sz w:val="24"/>
          <w:szCs w:val="24"/>
          <w:lang w:val="en-US"/>
        </w:rPr>
        <w:t>il</w:t>
      </w:r>
      <w:proofErr w:type="gramEnd"/>
      <w:r w:rsidRPr="003F7320">
        <w:rPr>
          <w:rFonts w:ascii="Arial" w:hAnsi="Arial" w:cs="Arial"/>
          <w:sz w:val="24"/>
          <w:szCs w:val="24"/>
          <w:lang w:val="en-US"/>
        </w:rPr>
        <w:t xml:space="preserve">. </w:t>
      </w:r>
    </w:p>
    <w:p w14:paraId="6037DD00" w14:textId="77777777" w:rsidR="003F7320" w:rsidRPr="003F7320" w:rsidRDefault="003F7320" w:rsidP="00B173D8">
      <w:pPr>
        <w:spacing w:after="0"/>
        <w:jc w:val="both"/>
        <w:rPr>
          <w:rFonts w:ascii="Arial" w:hAnsi="Arial" w:cs="Arial"/>
          <w:sz w:val="24"/>
          <w:szCs w:val="24"/>
          <w:lang w:val="en-US"/>
        </w:rPr>
      </w:pPr>
    </w:p>
    <w:p w14:paraId="610ECB3A" w14:textId="1EC17EC6" w:rsidR="007B745D" w:rsidRPr="003F7320" w:rsidRDefault="007B745D" w:rsidP="003F7320">
      <w:pPr>
        <w:spacing w:after="0"/>
        <w:jc w:val="both"/>
        <w:rPr>
          <w:rFonts w:ascii="Arial" w:hAnsi="Arial" w:cs="Arial"/>
          <w:sz w:val="24"/>
          <w:szCs w:val="24"/>
          <w:lang w:val="en-US"/>
        </w:rPr>
      </w:pPr>
      <w:r w:rsidRPr="003F7320">
        <w:rPr>
          <w:rFonts w:ascii="Arial" w:hAnsi="Arial" w:cs="Arial"/>
          <w:sz w:val="24"/>
          <w:szCs w:val="24"/>
          <w:lang w:val="en-US"/>
        </w:rPr>
        <w:t xml:space="preserve">Dr. Hans Vasquez, director of the Peruvian National Institute of Health </w:t>
      </w:r>
      <w:r w:rsidR="003F7320">
        <w:rPr>
          <w:rFonts w:ascii="Arial" w:hAnsi="Arial" w:cs="Arial"/>
          <w:sz w:val="24"/>
          <w:szCs w:val="24"/>
          <w:lang w:val="en-US"/>
        </w:rPr>
        <w:t xml:space="preserve">(INS) </w:t>
      </w:r>
      <w:r w:rsidRPr="003F7320">
        <w:rPr>
          <w:rFonts w:ascii="Arial" w:hAnsi="Arial" w:cs="Arial"/>
          <w:sz w:val="24"/>
          <w:szCs w:val="24"/>
          <w:lang w:val="en-US"/>
        </w:rPr>
        <w:t xml:space="preserve">inaugurated the workshop </w:t>
      </w:r>
      <w:r w:rsidR="003F7320" w:rsidRPr="003F7320">
        <w:rPr>
          <w:rFonts w:ascii="Arial" w:hAnsi="Arial" w:cs="Arial"/>
          <w:sz w:val="24"/>
          <w:szCs w:val="24"/>
          <w:lang w:val="en-US"/>
        </w:rPr>
        <w:t>and emphasized the importance</w:t>
      </w:r>
      <w:r w:rsidR="003F7320">
        <w:rPr>
          <w:rFonts w:ascii="Arial" w:hAnsi="Arial" w:cs="Arial"/>
          <w:sz w:val="24"/>
          <w:szCs w:val="24"/>
          <w:lang w:val="en-US"/>
        </w:rPr>
        <w:t xml:space="preserve"> of strengthening clinical research in Peru, through its various partners and recognized the commitment of the organizers of this event with research ethics in Peru in the past few years. He ended his remarks by wishing success in the goal of reinforcing skills of both, IRBs and investigators, as well. Following Dr. Vasquez’ remarks, Dr. </w:t>
      </w:r>
      <w:proofErr w:type="spellStart"/>
      <w:r w:rsidR="003F7320">
        <w:rPr>
          <w:rFonts w:ascii="Arial" w:hAnsi="Arial" w:cs="Arial"/>
          <w:sz w:val="24"/>
          <w:szCs w:val="24"/>
          <w:lang w:val="en-US"/>
        </w:rPr>
        <w:t>Heinner</w:t>
      </w:r>
      <w:proofErr w:type="spellEnd"/>
      <w:r w:rsidR="003F7320">
        <w:rPr>
          <w:rFonts w:ascii="Arial" w:hAnsi="Arial" w:cs="Arial"/>
          <w:sz w:val="24"/>
          <w:szCs w:val="24"/>
          <w:lang w:val="en-US"/>
        </w:rPr>
        <w:t xml:space="preserve"> </w:t>
      </w:r>
      <w:proofErr w:type="spellStart"/>
      <w:r w:rsidR="003F7320">
        <w:rPr>
          <w:rFonts w:ascii="Arial" w:hAnsi="Arial" w:cs="Arial"/>
          <w:sz w:val="24"/>
          <w:szCs w:val="24"/>
          <w:lang w:val="en-US"/>
        </w:rPr>
        <w:t>Guio</w:t>
      </w:r>
      <w:proofErr w:type="spellEnd"/>
      <w:r w:rsidR="003F7320">
        <w:rPr>
          <w:rFonts w:ascii="Arial" w:hAnsi="Arial" w:cs="Arial"/>
          <w:sz w:val="24"/>
          <w:szCs w:val="24"/>
          <w:lang w:val="en-US"/>
        </w:rPr>
        <w:t>, researcher at the Peruvian INS, shared his experience and data of his project entitled “The Peruvian Human Genome Project,” a Peruvian-led study providing information on the various genomic and genetic information of the various Peruvian populations.</w:t>
      </w:r>
      <w:r w:rsidR="007B0496">
        <w:rPr>
          <w:rFonts w:ascii="Arial" w:hAnsi="Arial" w:cs="Arial"/>
          <w:sz w:val="24"/>
          <w:szCs w:val="24"/>
          <w:lang w:val="en-US"/>
        </w:rPr>
        <w:t xml:space="preserve"> This study was conducted in close coordination with the local IRB and with community consultations. </w:t>
      </w:r>
      <w:r w:rsidR="003F7320">
        <w:rPr>
          <w:rFonts w:ascii="Arial" w:hAnsi="Arial" w:cs="Arial"/>
          <w:sz w:val="24"/>
          <w:szCs w:val="24"/>
          <w:lang w:val="en-US"/>
        </w:rPr>
        <w:t xml:space="preserve">  </w:t>
      </w:r>
      <w:r w:rsidR="003F7320" w:rsidRPr="003F7320">
        <w:rPr>
          <w:rFonts w:ascii="Arial" w:hAnsi="Arial" w:cs="Arial"/>
          <w:sz w:val="24"/>
          <w:szCs w:val="24"/>
          <w:lang w:val="en-US"/>
        </w:rPr>
        <w:t>Dr. Nora Espiritu, director of the regulatory agency for clinical trials in Peru (</w:t>
      </w:r>
      <w:proofErr w:type="spellStart"/>
      <w:r w:rsidRPr="003F7320">
        <w:rPr>
          <w:rFonts w:ascii="Arial" w:hAnsi="Arial" w:cs="Arial"/>
          <w:sz w:val="24"/>
          <w:szCs w:val="24"/>
          <w:lang w:val="en-US"/>
        </w:rPr>
        <w:t>Oficina</w:t>
      </w:r>
      <w:proofErr w:type="spellEnd"/>
      <w:r w:rsidRPr="003F7320">
        <w:rPr>
          <w:rFonts w:ascii="Arial" w:hAnsi="Arial" w:cs="Arial"/>
          <w:sz w:val="24"/>
          <w:szCs w:val="24"/>
          <w:lang w:val="en-US"/>
        </w:rPr>
        <w:t xml:space="preserve"> General de </w:t>
      </w:r>
      <w:proofErr w:type="spellStart"/>
      <w:r w:rsidRPr="003F7320">
        <w:rPr>
          <w:rFonts w:ascii="Arial" w:hAnsi="Arial" w:cs="Arial"/>
          <w:sz w:val="24"/>
          <w:szCs w:val="24"/>
          <w:lang w:val="en-US"/>
        </w:rPr>
        <w:t>Investigaci</w:t>
      </w:r>
      <w:r w:rsidR="003F7320" w:rsidRPr="003F7320">
        <w:rPr>
          <w:rFonts w:ascii="Arial" w:hAnsi="Arial" w:cs="Arial"/>
          <w:sz w:val="24"/>
          <w:szCs w:val="24"/>
          <w:lang w:val="en-US"/>
        </w:rPr>
        <w:t>ón</w:t>
      </w:r>
      <w:proofErr w:type="spellEnd"/>
      <w:r w:rsidR="003F7320" w:rsidRPr="003F7320">
        <w:rPr>
          <w:rFonts w:ascii="Arial" w:hAnsi="Arial" w:cs="Arial"/>
          <w:sz w:val="24"/>
          <w:szCs w:val="24"/>
          <w:lang w:val="en-US"/>
        </w:rPr>
        <w:t xml:space="preserve"> y </w:t>
      </w:r>
      <w:proofErr w:type="spellStart"/>
      <w:r w:rsidR="003F7320" w:rsidRPr="003F7320">
        <w:rPr>
          <w:rFonts w:ascii="Arial" w:hAnsi="Arial" w:cs="Arial"/>
          <w:sz w:val="24"/>
          <w:szCs w:val="24"/>
          <w:lang w:val="en-US"/>
        </w:rPr>
        <w:t>Transferencia</w:t>
      </w:r>
      <w:proofErr w:type="spellEnd"/>
      <w:r w:rsidR="003F7320" w:rsidRPr="003F7320">
        <w:rPr>
          <w:rFonts w:ascii="Arial" w:hAnsi="Arial" w:cs="Arial"/>
          <w:sz w:val="24"/>
          <w:szCs w:val="24"/>
          <w:lang w:val="en-US"/>
        </w:rPr>
        <w:t xml:space="preserve"> </w:t>
      </w:r>
      <w:proofErr w:type="spellStart"/>
      <w:r w:rsidR="003F7320" w:rsidRPr="003F7320">
        <w:rPr>
          <w:rFonts w:ascii="Arial" w:hAnsi="Arial" w:cs="Arial"/>
          <w:sz w:val="24"/>
          <w:szCs w:val="24"/>
          <w:lang w:val="en-US"/>
        </w:rPr>
        <w:lastRenderedPageBreak/>
        <w:t>Tecnológica</w:t>
      </w:r>
      <w:proofErr w:type="spellEnd"/>
      <w:r w:rsidR="003F7320" w:rsidRPr="003F7320">
        <w:rPr>
          <w:rFonts w:ascii="Arial" w:hAnsi="Arial" w:cs="Arial"/>
          <w:sz w:val="24"/>
          <w:szCs w:val="24"/>
          <w:lang w:val="en-US"/>
        </w:rPr>
        <w:t xml:space="preserve"> -</w:t>
      </w:r>
      <w:r w:rsidRPr="003F7320">
        <w:rPr>
          <w:rFonts w:ascii="Arial" w:hAnsi="Arial" w:cs="Arial"/>
          <w:sz w:val="24"/>
          <w:szCs w:val="24"/>
          <w:lang w:val="en-US"/>
        </w:rPr>
        <w:t xml:space="preserve">OGITT), </w:t>
      </w:r>
      <w:r w:rsidR="003F7320" w:rsidRPr="003F7320">
        <w:rPr>
          <w:rFonts w:ascii="Arial" w:hAnsi="Arial" w:cs="Arial"/>
          <w:sz w:val="24"/>
          <w:szCs w:val="24"/>
          <w:lang w:val="en-US"/>
        </w:rPr>
        <w:t>a divisi</w:t>
      </w:r>
      <w:r w:rsidR="003F7320">
        <w:rPr>
          <w:rFonts w:ascii="Arial" w:hAnsi="Arial" w:cs="Arial"/>
          <w:sz w:val="24"/>
          <w:szCs w:val="24"/>
          <w:lang w:val="en-US"/>
        </w:rPr>
        <w:t>o</w:t>
      </w:r>
      <w:r w:rsidR="003F7320" w:rsidRPr="003F7320">
        <w:rPr>
          <w:rFonts w:ascii="Arial" w:hAnsi="Arial" w:cs="Arial"/>
          <w:sz w:val="24"/>
          <w:szCs w:val="24"/>
          <w:lang w:val="en-US"/>
        </w:rPr>
        <w:t>n of the INS</w:t>
      </w:r>
      <w:r w:rsidRPr="003F7320">
        <w:rPr>
          <w:rFonts w:ascii="Arial" w:hAnsi="Arial" w:cs="Arial"/>
          <w:sz w:val="24"/>
          <w:szCs w:val="24"/>
          <w:lang w:val="en-US"/>
        </w:rPr>
        <w:t xml:space="preserve">, </w:t>
      </w:r>
      <w:r w:rsidR="003F7320" w:rsidRPr="003F7320">
        <w:rPr>
          <w:rFonts w:ascii="Arial" w:hAnsi="Arial" w:cs="Arial"/>
          <w:sz w:val="24"/>
          <w:szCs w:val="24"/>
          <w:lang w:val="en-US"/>
        </w:rPr>
        <w:t>shared with the audience the progress made in Peru with the new regulation and the challenges ahead.</w:t>
      </w:r>
      <w:r w:rsidR="003F7320">
        <w:rPr>
          <w:rFonts w:ascii="Arial" w:hAnsi="Arial" w:cs="Arial"/>
          <w:sz w:val="24"/>
          <w:szCs w:val="24"/>
          <w:lang w:val="en-US"/>
        </w:rPr>
        <w:t xml:space="preserve"> </w:t>
      </w:r>
      <w:r w:rsidRPr="003F7320">
        <w:rPr>
          <w:rFonts w:ascii="Arial" w:hAnsi="Arial" w:cs="Arial"/>
          <w:sz w:val="24"/>
          <w:szCs w:val="24"/>
          <w:lang w:val="en-US"/>
        </w:rPr>
        <w:t xml:space="preserve">  </w:t>
      </w:r>
    </w:p>
    <w:p w14:paraId="344F4B76" w14:textId="77777777" w:rsidR="007B745D" w:rsidRPr="003F7320" w:rsidRDefault="007B745D" w:rsidP="00B173D8">
      <w:pPr>
        <w:spacing w:after="0"/>
        <w:jc w:val="both"/>
        <w:rPr>
          <w:rFonts w:ascii="Arial" w:hAnsi="Arial" w:cs="Arial"/>
          <w:sz w:val="24"/>
          <w:szCs w:val="24"/>
          <w:lang w:val="en-US"/>
        </w:rPr>
      </w:pPr>
    </w:p>
    <w:p w14:paraId="51270F62" w14:textId="6285FA31" w:rsidR="007B0496" w:rsidRDefault="007B745D" w:rsidP="007B0496">
      <w:pPr>
        <w:spacing w:after="0"/>
        <w:jc w:val="both"/>
        <w:rPr>
          <w:rFonts w:ascii="Arial" w:hAnsi="Arial" w:cs="Arial"/>
          <w:sz w:val="24"/>
          <w:szCs w:val="24"/>
          <w:lang w:val="en-US"/>
        </w:rPr>
      </w:pPr>
      <w:r w:rsidRPr="007B745D">
        <w:rPr>
          <w:rFonts w:ascii="Arial" w:hAnsi="Arial" w:cs="Arial"/>
          <w:sz w:val="24"/>
          <w:szCs w:val="24"/>
          <w:lang w:val="en-US"/>
        </w:rPr>
        <w:t xml:space="preserve">The event took place in the course of two days. </w:t>
      </w:r>
      <w:r>
        <w:rPr>
          <w:rFonts w:ascii="Arial" w:hAnsi="Arial" w:cs="Arial"/>
          <w:sz w:val="24"/>
          <w:szCs w:val="24"/>
          <w:lang w:val="en-US"/>
        </w:rPr>
        <w:t xml:space="preserve">The first day was dedicated to the theme </w:t>
      </w:r>
      <w:r w:rsidRPr="007C6074">
        <w:rPr>
          <w:rFonts w:ascii="Arial" w:hAnsi="Arial" w:cs="Arial"/>
          <w:b/>
          <w:i/>
          <w:sz w:val="24"/>
          <w:szCs w:val="24"/>
          <w:lang w:val="en-US"/>
        </w:rPr>
        <w:t>Alternative Study Design in Clinical Trials</w:t>
      </w:r>
      <w:r w:rsidR="00CB3CC8" w:rsidRPr="007B745D">
        <w:rPr>
          <w:rFonts w:ascii="Arial" w:hAnsi="Arial" w:cs="Arial"/>
          <w:sz w:val="24"/>
          <w:szCs w:val="24"/>
          <w:lang w:val="en-US"/>
        </w:rPr>
        <w:t xml:space="preserve">. </w:t>
      </w:r>
      <w:r w:rsidR="007B0496" w:rsidRPr="007B0496">
        <w:rPr>
          <w:rFonts w:ascii="Arial" w:hAnsi="Arial" w:cs="Arial"/>
          <w:sz w:val="24"/>
          <w:szCs w:val="24"/>
          <w:lang w:val="en-US"/>
        </w:rPr>
        <w:t>Dr. Palacios</w:t>
      </w:r>
      <w:r w:rsidR="007B0496" w:rsidRPr="007B0496">
        <w:rPr>
          <w:rFonts w:ascii="Arial" w:hAnsi="Arial" w:cs="Arial"/>
          <w:sz w:val="24"/>
          <w:szCs w:val="24"/>
          <w:lang w:val="en-US"/>
        </w:rPr>
        <w:t xml:space="preserve">’ presentations received high regards from the audience because of his knowledge, clarity, methodology and experience. </w:t>
      </w:r>
      <w:r w:rsidR="007B0496" w:rsidRPr="007B0496">
        <w:rPr>
          <w:rFonts w:ascii="Arial" w:hAnsi="Arial" w:cs="Arial"/>
          <w:sz w:val="24"/>
          <w:szCs w:val="24"/>
          <w:lang w:val="en-US"/>
        </w:rPr>
        <w:t xml:space="preserve"> </w:t>
      </w:r>
    </w:p>
    <w:p w14:paraId="48DC109A" w14:textId="77777777" w:rsidR="007B0496" w:rsidRDefault="007B0496" w:rsidP="007B0496">
      <w:pPr>
        <w:spacing w:after="0"/>
        <w:jc w:val="both"/>
        <w:rPr>
          <w:rFonts w:ascii="Arial" w:hAnsi="Arial" w:cs="Arial"/>
          <w:sz w:val="24"/>
          <w:szCs w:val="24"/>
        </w:rPr>
      </w:pPr>
    </w:p>
    <w:p w14:paraId="715023BD" w14:textId="4BB43AC5" w:rsidR="00CB3CC8" w:rsidRPr="007B0496" w:rsidRDefault="003F7320" w:rsidP="00B173D8">
      <w:pPr>
        <w:spacing w:after="0"/>
        <w:jc w:val="both"/>
        <w:rPr>
          <w:rFonts w:ascii="Arial" w:hAnsi="Arial" w:cs="Arial"/>
          <w:sz w:val="24"/>
          <w:szCs w:val="24"/>
          <w:lang w:val="en-US"/>
        </w:rPr>
      </w:pPr>
      <w:r>
        <w:rPr>
          <w:rFonts w:ascii="Arial" w:hAnsi="Arial" w:cs="Arial"/>
          <w:sz w:val="24"/>
          <w:szCs w:val="24"/>
          <w:lang w:val="en-US"/>
        </w:rPr>
        <w:t xml:space="preserve">In addition to the presentation and corresponding hands-on workshops, there was an additional study protocol discussed during the event. </w:t>
      </w:r>
      <w:r w:rsidRPr="007B0496">
        <w:rPr>
          <w:rFonts w:ascii="Arial" w:hAnsi="Arial" w:cs="Arial"/>
          <w:sz w:val="24"/>
          <w:szCs w:val="24"/>
          <w:lang w:val="en-US"/>
        </w:rPr>
        <w:t xml:space="preserve">This protocol had been submitted to the </w:t>
      </w:r>
      <w:r w:rsidR="007B0496" w:rsidRPr="007B0496">
        <w:rPr>
          <w:rFonts w:ascii="Arial" w:hAnsi="Arial" w:cs="Arial"/>
          <w:sz w:val="24"/>
          <w:szCs w:val="24"/>
          <w:lang w:val="en-US"/>
        </w:rPr>
        <w:t>IRB in C</w:t>
      </w:r>
      <w:r w:rsidR="00B173D8" w:rsidRPr="007B0496">
        <w:rPr>
          <w:rFonts w:ascii="Arial" w:hAnsi="Arial" w:cs="Arial"/>
          <w:sz w:val="24"/>
          <w:szCs w:val="24"/>
          <w:lang w:val="en-US"/>
        </w:rPr>
        <w:t>IDEIM Cali, Colombia</w:t>
      </w:r>
      <w:r w:rsidR="007B0496" w:rsidRPr="007B0496">
        <w:rPr>
          <w:rFonts w:ascii="Arial" w:hAnsi="Arial" w:cs="Arial"/>
          <w:sz w:val="24"/>
          <w:szCs w:val="24"/>
          <w:lang w:val="en-US"/>
        </w:rPr>
        <w:t xml:space="preserve">.  On the second day, there was a lively discussion on the new regulation of clinical trials, biobanks, vulnerability in Research, IRB autonomy, working in networks. The course ended with two presentations regarding IRB functions, such as challenges found in the initial review of a study and how to manage IRB workload.  </w:t>
      </w:r>
      <w:r w:rsidR="00CB3CC8" w:rsidRPr="007B0496">
        <w:rPr>
          <w:rFonts w:ascii="Arial" w:hAnsi="Arial" w:cs="Arial"/>
          <w:sz w:val="24"/>
          <w:szCs w:val="24"/>
          <w:lang w:val="en-US"/>
        </w:rPr>
        <w:t xml:space="preserve"> </w:t>
      </w:r>
    </w:p>
    <w:p w14:paraId="3D322D1C" w14:textId="63F3187D" w:rsidR="00B173D8" w:rsidRDefault="00B173D8" w:rsidP="00B173D8">
      <w:pPr>
        <w:spacing w:after="0"/>
        <w:jc w:val="both"/>
        <w:rPr>
          <w:rFonts w:ascii="Arial" w:hAnsi="Arial" w:cs="Arial"/>
          <w:sz w:val="24"/>
          <w:szCs w:val="24"/>
        </w:rPr>
      </w:pPr>
    </w:p>
    <w:p w14:paraId="1B7A65FB" w14:textId="17BE9B3B" w:rsidR="00353B6B" w:rsidRPr="007B0496" w:rsidRDefault="007B0496" w:rsidP="00B173D8">
      <w:pPr>
        <w:spacing w:after="0"/>
        <w:jc w:val="both"/>
        <w:rPr>
          <w:rFonts w:ascii="Arial" w:hAnsi="Arial" w:cs="Arial"/>
          <w:sz w:val="24"/>
          <w:szCs w:val="24"/>
          <w:lang w:val="en-US"/>
        </w:rPr>
      </w:pPr>
      <w:r w:rsidRPr="007B0496">
        <w:rPr>
          <w:rFonts w:ascii="Arial" w:hAnsi="Arial" w:cs="Arial"/>
          <w:sz w:val="24"/>
          <w:szCs w:val="24"/>
          <w:lang w:val="en-US"/>
        </w:rPr>
        <w:t xml:space="preserve">In the words of one of our foreign speakers, Dr. </w:t>
      </w:r>
      <w:r>
        <w:rPr>
          <w:rFonts w:ascii="Arial" w:hAnsi="Arial" w:cs="Arial"/>
          <w:sz w:val="24"/>
          <w:szCs w:val="24"/>
          <w:lang w:val="en-US"/>
        </w:rPr>
        <w:t xml:space="preserve">Alger. </w:t>
      </w:r>
      <w:r w:rsidRPr="00205C25">
        <w:rPr>
          <w:rFonts w:ascii="Arial" w:hAnsi="Arial" w:cs="Arial"/>
          <w:i/>
          <w:sz w:val="24"/>
          <w:szCs w:val="24"/>
          <w:lang w:val="en-US"/>
        </w:rPr>
        <w:t>“…this event provided a unique opportunity to appreciate and understand the various components in a well-consolidated health research system, such as the Peruvian system, as compared to others.”</w:t>
      </w:r>
      <w:r>
        <w:rPr>
          <w:rFonts w:ascii="Arial" w:hAnsi="Arial" w:cs="Arial"/>
          <w:sz w:val="24"/>
          <w:szCs w:val="24"/>
          <w:lang w:val="en-US"/>
        </w:rPr>
        <w:t xml:space="preserve">  Dr. Alger has collaborated with the Peruvian IRB Network since 2014 and during this event, she was able </w:t>
      </w:r>
      <w:r w:rsidR="00205C25">
        <w:rPr>
          <w:rFonts w:ascii="Arial" w:hAnsi="Arial" w:cs="Arial"/>
          <w:sz w:val="24"/>
          <w:szCs w:val="24"/>
          <w:lang w:val="en-US"/>
        </w:rPr>
        <w:t xml:space="preserve">to interact with several members and exchange experiences, as well as learning what is happening in Argentina, Brazil, Colombia and the Dominican Republic.  </w:t>
      </w:r>
      <w:r w:rsidR="00205C25" w:rsidRPr="00205C25">
        <w:rPr>
          <w:rFonts w:ascii="Arial" w:hAnsi="Arial" w:cs="Arial"/>
          <w:i/>
          <w:sz w:val="24"/>
          <w:szCs w:val="24"/>
          <w:lang w:val="en-US"/>
        </w:rPr>
        <w:t>“… The central theme, alternative designs in clinical trials, is extremely important and will fill existing information gaps in our local IRBs.”</w:t>
      </w:r>
      <w:r w:rsidR="00205C25">
        <w:rPr>
          <w:rFonts w:ascii="Arial" w:hAnsi="Arial" w:cs="Arial"/>
          <w:sz w:val="24"/>
          <w:szCs w:val="24"/>
          <w:lang w:val="en-US"/>
        </w:rPr>
        <w:t xml:space="preserve">  Finally, Dr. Alger considers </w:t>
      </w:r>
      <w:r w:rsidR="00205C25" w:rsidRPr="00205C25">
        <w:rPr>
          <w:rFonts w:ascii="Arial" w:hAnsi="Arial" w:cs="Arial"/>
          <w:i/>
          <w:sz w:val="24"/>
          <w:szCs w:val="24"/>
          <w:lang w:val="en-US"/>
        </w:rPr>
        <w:t>“… my participation allowed the audience to know what is happening with the Honduran IRBs and IRB Network, and how we have put to good use the training opportunities provided by The Global Health Network platform.”</w:t>
      </w:r>
    </w:p>
    <w:p w14:paraId="3FA3FA4F" w14:textId="7E1D6D03" w:rsidR="00353B6B" w:rsidRDefault="00353B6B" w:rsidP="00B173D8">
      <w:pPr>
        <w:spacing w:after="0"/>
        <w:jc w:val="both"/>
        <w:rPr>
          <w:rFonts w:ascii="Arial" w:hAnsi="Arial" w:cs="Arial"/>
          <w:sz w:val="24"/>
          <w:szCs w:val="24"/>
        </w:rPr>
      </w:pPr>
      <w:bookmarkStart w:id="0" w:name="_GoBack"/>
      <w:bookmarkEnd w:id="0"/>
    </w:p>
    <w:p w14:paraId="46DC9CA7" w14:textId="4F418706" w:rsidR="00205C25" w:rsidRPr="00205C25" w:rsidRDefault="00205C25" w:rsidP="00B173D8">
      <w:pPr>
        <w:spacing w:after="0"/>
        <w:jc w:val="both"/>
        <w:rPr>
          <w:rFonts w:ascii="Arial" w:hAnsi="Arial" w:cs="Arial"/>
          <w:sz w:val="24"/>
          <w:szCs w:val="24"/>
          <w:lang w:val="en-US"/>
        </w:rPr>
      </w:pPr>
      <w:r w:rsidRPr="00205C25">
        <w:rPr>
          <w:rFonts w:ascii="Arial" w:hAnsi="Arial" w:cs="Arial"/>
          <w:sz w:val="24"/>
          <w:szCs w:val="24"/>
          <w:lang w:val="en-US"/>
        </w:rPr>
        <w:t xml:space="preserve">Remarks from another foreign attendee emphasized </w:t>
      </w:r>
      <w:r w:rsidRPr="00205C25">
        <w:rPr>
          <w:rFonts w:ascii="Arial" w:hAnsi="Arial" w:cs="Arial"/>
          <w:i/>
          <w:sz w:val="24"/>
          <w:szCs w:val="24"/>
          <w:lang w:val="en-US"/>
        </w:rPr>
        <w:t>“… The selection of topics, knowledge and experience of the speakers and the depth with which these topics were addressed in an intensive workshop, as well as the coherence…, the course has been one more demonstration of the importance and complexity of the work done by IRBs</w:t>
      </w:r>
      <w:r>
        <w:rPr>
          <w:rFonts w:ascii="Arial" w:hAnsi="Arial" w:cs="Arial"/>
          <w:sz w:val="24"/>
          <w:szCs w:val="24"/>
          <w:lang w:val="en-US"/>
        </w:rPr>
        <w:t>.”</w:t>
      </w:r>
    </w:p>
    <w:p w14:paraId="32AAC191" w14:textId="77777777" w:rsidR="00E54AAC" w:rsidRDefault="00E54AAC" w:rsidP="00B173D8">
      <w:pPr>
        <w:spacing w:after="0"/>
        <w:jc w:val="both"/>
        <w:rPr>
          <w:rFonts w:ascii="Arial" w:hAnsi="Arial" w:cs="Arial"/>
          <w:sz w:val="24"/>
          <w:szCs w:val="24"/>
        </w:rPr>
      </w:pPr>
    </w:p>
    <w:p w14:paraId="10C67102" w14:textId="4CAB219C" w:rsidR="001F70EE" w:rsidRDefault="00205C25" w:rsidP="00B173D8">
      <w:pPr>
        <w:spacing w:after="0"/>
        <w:jc w:val="both"/>
        <w:rPr>
          <w:rFonts w:ascii="Arial" w:hAnsi="Arial" w:cs="Arial"/>
          <w:sz w:val="24"/>
          <w:szCs w:val="24"/>
        </w:rPr>
      </w:pPr>
      <w:r w:rsidRPr="00205C25">
        <w:rPr>
          <w:rFonts w:ascii="Arial" w:hAnsi="Arial" w:cs="Arial"/>
          <w:sz w:val="24"/>
          <w:szCs w:val="24"/>
          <w:lang w:val="en-US"/>
        </w:rPr>
        <w:t xml:space="preserve">A total of </w:t>
      </w:r>
      <w:r w:rsidR="001F70EE" w:rsidRPr="00205C25">
        <w:rPr>
          <w:rFonts w:ascii="Arial" w:hAnsi="Arial" w:cs="Arial"/>
          <w:sz w:val="24"/>
          <w:szCs w:val="24"/>
          <w:lang w:val="en-US"/>
        </w:rPr>
        <w:t>130 pe</w:t>
      </w:r>
      <w:r w:rsidRPr="00205C25">
        <w:rPr>
          <w:rFonts w:ascii="Arial" w:hAnsi="Arial" w:cs="Arial"/>
          <w:sz w:val="24"/>
          <w:szCs w:val="24"/>
          <w:lang w:val="en-US"/>
        </w:rPr>
        <w:t>ople at</w:t>
      </w:r>
      <w:r>
        <w:rPr>
          <w:rFonts w:ascii="Arial" w:hAnsi="Arial" w:cs="Arial"/>
          <w:sz w:val="24"/>
          <w:szCs w:val="24"/>
          <w:lang w:val="en-US"/>
        </w:rPr>
        <w:t>t</w:t>
      </w:r>
      <w:r w:rsidRPr="00205C25">
        <w:rPr>
          <w:rFonts w:ascii="Arial" w:hAnsi="Arial" w:cs="Arial"/>
          <w:sz w:val="24"/>
          <w:szCs w:val="24"/>
          <w:lang w:val="en-US"/>
        </w:rPr>
        <w:t xml:space="preserve">ended the course, among speakers, </w:t>
      </w:r>
      <w:r>
        <w:rPr>
          <w:rFonts w:ascii="Arial" w:hAnsi="Arial" w:cs="Arial"/>
          <w:sz w:val="24"/>
          <w:szCs w:val="24"/>
          <w:lang w:val="en-US"/>
        </w:rPr>
        <w:t xml:space="preserve">attendees and logistic support, 92/130 were women and 7/130 were foreign attendees/speakers coming from IRBs and institutions in </w:t>
      </w:r>
      <w:r w:rsidR="004D10A7" w:rsidRPr="00205C25">
        <w:rPr>
          <w:rFonts w:ascii="Arial" w:hAnsi="Arial" w:cs="Arial"/>
          <w:sz w:val="24"/>
          <w:szCs w:val="24"/>
          <w:lang w:val="en-US"/>
        </w:rPr>
        <w:t>Argentina, Bra</w:t>
      </w:r>
      <w:r w:rsidRPr="00205C25">
        <w:rPr>
          <w:rFonts w:ascii="Arial" w:hAnsi="Arial" w:cs="Arial"/>
          <w:sz w:val="24"/>
          <w:szCs w:val="24"/>
          <w:lang w:val="en-US"/>
        </w:rPr>
        <w:t>z</w:t>
      </w:r>
      <w:r w:rsidR="004D10A7" w:rsidRPr="00205C25">
        <w:rPr>
          <w:rFonts w:ascii="Arial" w:hAnsi="Arial" w:cs="Arial"/>
          <w:sz w:val="24"/>
          <w:szCs w:val="24"/>
          <w:lang w:val="en-US"/>
        </w:rPr>
        <w:t xml:space="preserve">il, Colombia, Honduras </w:t>
      </w:r>
      <w:r>
        <w:rPr>
          <w:rFonts w:ascii="Arial" w:hAnsi="Arial" w:cs="Arial"/>
          <w:sz w:val="24"/>
          <w:szCs w:val="24"/>
          <w:lang w:val="en-US"/>
        </w:rPr>
        <w:t xml:space="preserve">and the Dominican </w:t>
      </w:r>
      <w:r w:rsidR="00B173D8" w:rsidRPr="00205C25">
        <w:rPr>
          <w:rFonts w:ascii="Arial" w:hAnsi="Arial" w:cs="Arial"/>
          <w:sz w:val="24"/>
          <w:szCs w:val="24"/>
          <w:lang w:val="en-US"/>
        </w:rPr>
        <w:t>Rep</w:t>
      </w:r>
      <w:r>
        <w:rPr>
          <w:rFonts w:ascii="Arial" w:hAnsi="Arial" w:cs="Arial"/>
          <w:sz w:val="24"/>
          <w:szCs w:val="24"/>
          <w:lang w:val="en-US"/>
        </w:rPr>
        <w:t>u</w:t>
      </w:r>
      <w:r w:rsidR="001F70EE" w:rsidRPr="00205C25">
        <w:rPr>
          <w:rFonts w:ascii="Arial" w:hAnsi="Arial" w:cs="Arial"/>
          <w:sz w:val="24"/>
          <w:szCs w:val="24"/>
          <w:lang w:val="en-US"/>
        </w:rPr>
        <w:t xml:space="preserve">blic. </w:t>
      </w:r>
      <w:r>
        <w:rPr>
          <w:rFonts w:ascii="Arial" w:hAnsi="Arial" w:cs="Arial"/>
          <w:sz w:val="24"/>
          <w:szCs w:val="24"/>
          <w:lang w:val="en-US"/>
        </w:rPr>
        <w:t xml:space="preserve">A total of 25 Peruvian institutions were represented at this event, mostly IRBs but there were also investigators from Contract Research Organizations (CROs) and universities. </w:t>
      </w:r>
      <w:r w:rsidRPr="00205C25">
        <w:rPr>
          <w:rFonts w:ascii="Arial" w:hAnsi="Arial" w:cs="Arial"/>
          <w:sz w:val="24"/>
          <w:szCs w:val="24"/>
          <w:lang w:val="en-US"/>
        </w:rPr>
        <w:t>The presentations led to useful and interesting discussions that helped reinforce current or controversial topics.</w:t>
      </w:r>
      <w:r>
        <w:rPr>
          <w:rFonts w:ascii="Arial" w:hAnsi="Arial" w:cs="Arial"/>
          <w:sz w:val="24"/>
          <w:szCs w:val="24"/>
          <w:lang w:val="en-US"/>
        </w:rPr>
        <w:t xml:space="preserve"> </w:t>
      </w:r>
      <w:r w:rsidR="002E1B8A" w:rsidRPr="00205C25">
        <w:rPr>
          <w:rFonts w:ascii="Arial" w:hAnsi="Arial" w:cs="Arial"/>
          <w:sz w:val="24"/>
          <w:szCs w:val="24"/>
          <w:lang w:val="en-US"/>
        </w:rPr>
        <w:t xml:space="preserve"> </w:t>
      </w:r>
    </w:p>
    <w:p w14:paraId="27EA1812" w14:textId="18EFF1EF" w:rsidR="001F70EE" w:rsidRDefault="001F70EE" w:rsidP="00B173D8">
      <w:pPr>
        <w:spacing w:after="0"/>
        <w:jc w:val="both"/>
        <w:rPr>
          <w:rFonts w:ascii="Arial" w:hAnsi="Arial" w:cs="Arial"/>
          <w:sz w:val="24"/>
          <w:szCs w:val="24"/>
        </w:rPr>
      </w:pPr>
    </w:p>
    <w:p w14:paraId="48211CB1" w14:textId="44C174D0" w:rsidR="0095595F" w:rsidRPr="001F70EE" w:rsidRDefault="00205C25" w:rsidP="00B173D8">
      <w:pPr>
        <w:spacing w:after="0"/>
        <w:jc w:val="both"/>
        <w:rPr>
          <w:rFonts w:ascii="Arial" w:hAnsi="Arial" w:cs="Arial"/>
          <w:sz w:val="24"/>
          <w:szCs w:val="24"/>
        </w:rPr>
      </w:pPr>
      <w:r w:rsidRPr="00205C25">
        <w:rPr>
          <w:rFonts w:ascii="Arial" w:hAnsi="Arial" w:cs="Arial"/>
          <w:sz w:val="24"/>
          <w:szCs w:val="24"/>
          <w:lang w:val="en-US"/>
        </w:rPr>
        <w:t xml:space="preserve">One of the recommendations provided was to try to hold a similar event either yearly or every two years. </w:t>
      </w:r>
    </w:p>
    <w:sectPr w:rsidR="0095595F" w:rsidRPr="001F70EE" w:rsidSect="00E54AAC">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1FD8F" w14:textId="77777777" w:rsidR="005A3598" w:rsidRDefault="005A3598">
      <w:pPr>
        <w:spacing w:after="0" w:line="240" w:lineRule="auto"/>
      </w:pPr>
      <w:r>
        <w:separator/>
      </w:r>
    </w:p>
  </w:endnote>
  <w:endnote w:type="continuationSeparator" w:id="0">
    <w:p w14:paraId="59FA96BE" w14:textId="77777777" w:rsidR="005A3598" w:rsidRDefault="005A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313958"/>
      <w:docPartObj>
        <w:docPartGallery w:val="Page Numbers (Bottom of Page)"/>
        <w:docPartUnique/>
      </w:docPartObj>
    </w:sdtPr>
    <w:sdtEndPr/>
    <w:sdtContent>
      <w:p w14:paraId="4E6ECC16" w14:textId="2C118A93" w:rsidR="00850C83" w:rsidRDefault="00EB503B">
        <w:pPr>
          <w:pStyle w:val="Footer"/>
          <w:jc w:val="center"/>
        </w:pPr>
        <w:r>
          <w:fldChar w:fldCharType="begin"/>
        </w:r>
        <w:r>
          <w:instrText>PAGE   \* MERGEFORMAT</w:instrText>
        </w:r>
        <w:r>
          <w:fldChar w:fldCharType="separate"/>
        </w:r>
        <w:r w:rsidR="00205C25" w:rsidRPr="00205C25">
          <w:rPr>
            <w:noProof/>
            <w:lang w:val="es-ES"/>
          </w:rPr>
          <w:t>1</w:t>
        </w:r>
        <w:r>
          <w:fldChar w:fldCharType="end"/>
        </w:r>
      </w:p>
    </w:sdtContent>
  </w:sdt>
  <w:p w14:paraId="0B98511F" w14:textId="77777777" w:rsidR="00850C83" w:rsidRDefault="00205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4CEC" w14:textId="77777777" w:rsidR="005A3598" w:rsidRDefault="005A3598">
      <w:pPr>
        <w:spacing w:after="0" w:line="240" w:lineRule="auto"/>
      </w:pPr>
      <w:r>
        <w:separator/>
      </w:r>
    </w:p>
  </w:footnote>
  <w:footnote w:type="continuationSeparator" w:id="0">
    <w:p w14:paraId="0D66651F" w14:textId="77777777" w:rsidR="005A3598" w:rsidRDefault="005A3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03865"/>
    <w:multiLevelType w:val="hybridMultilevel"/>
    <w:tmpl w:val="953A6C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00E3333"/>
    <w:multiLevelType w:val="multilevel"/>
    <w:tmpl w:val="D18A128A"/>
    <w:lvl w:ilvl="0">
      <w:start w:val="1"/>
      <w:numFmt w:val="upperRoman"/>
      <w:lvlText w:val="%1."/>
      <w:lvlJc w:val="left"/>
      <w:pPr>
        <w:ind w:left="1080" w:hanging="720"/>
      </w:pPr>
      <w:rPr>
        <w:rFonts w:hint="default"/>
      </w:rPr>
    </w:lvl>
    <w:lvl w:ilvl="1">
      <w:start w:val="1"/>
      <w:numFmt w:val="decimal"/>
      <w:isLgl/>
      <w:lvlText w:val="%1.%2"/>
      <w:lvlJc w:val="left"/>
      <w:pPr>
        <w:ind w:left="1886" w:hanging="990"/>
      </w:pPr>
      <w:rPr>
        <w:rFonts w:hint="default"/>
      </w:rPr>
    </w:lvl>
    <w:lvl w:ilvl="2">
      <w:start w:val="1"/>
      <w:numFmt w:val="decimal"/>
      <w:isLgl/>
      <w:lvlText w:val="%1.%2.%3"/>
      <w:lvlJc w:val="left"/>
      <w:pPr>
        <w:ind w:left="2422" w:hanging="990"/>
      </w:pPr>
      <w:rPr>
        <w:rFonts w:hint="default"/>
      </w:rPr>
    </w:lvl>
    <w:lvl w:ilvl="3">
      <w:start w:val="1"/>
      <w:numFmt w:val="decimal"/>
      <w:isLgl/>
      <w:lvlText w:val="%1.%2.%3.%4"/>
      <w:lvlJc w:val="left"/>
      <w:pPr>
        <w:ind w:left="2958" w:hanging="990"/>
      </w:pPr>
      <w:rPr>
        <w:rFonts w:hint="default"/>
      </w:rPr>
    </w:lvl>
    <w:lvl w:ilvl="4">
      <w:start w:val="1"/>
      <w:numFmt w:val="decimal"/>
      <w:isLgl/>
      <w:lvlText w:val="%1.%2.%3.%4.%5"/>
      <w:lvlJc w:val="left"/>
      <w:pPr>
        <w:ind w:left="3584" w:hanging="1080"/>
      </w:pPr>
      <w:rPr>
        <w:rFonts w:hint="default"/>
      </w:rPr>
    </w:lvl>
    <w:lvl w:ilvl="5">
      <w:start w:val="1"/>
      <w:numFmt w:val="decimal"/>
      <w:isLgl/>
      <w:lvlText w:val="%1.%2.%3.%4.%5.%6"/>
      <w:lvlJc w:val="left"/>
      <w:pPr>
        <w:ind w:left="4120" w:hanging="1080"/>
      </w:pPr>
      <w:rPr>
        <w:rFonts w:hint="default"/>
      </w:rPr>
    </w:lvl>
    <w:lvl w:ilvl="6">
      <w:start w:val="1"/>
      <w:numFmt w:val="decimal"/>
      <w:isLgl/>
      <w:lvlText w:val="%1.%2.%3.%4.%5.%6.%7"/>
      <w:lvlJc w:val="left"/>
      <w:pPr>
        <w:ind w:left="5016"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6088"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B"/>
    <w:rsid w:val="00004B94"/>
    <w:rsid w:val="000061CC"/>
    <w:rsid w:val="000172AD"/>
    <w:rsid w:val="000A5C7C"/>
    <w:rsid w:val="00105034"/>
    <w:rsid w:val="001F70EE"/>
    <w:rsid w:val="00205C25"/>
    <w:rsid w:val="0026373C"/>
    <w:rsid w:val="00283AD9"/>
    <w:rsid w:val="002A0964"/>
    <w:rsid w:val="002E1B8A"/>
    <w:rsid w:val="00353B6B"/>
    <w:rsid w:val="003B0C9A"/>
    <w:rsid w:val="003B1476"/>
    <w:rsid w:val="003F7320"/>
    <w:rsid w:val="003F7335"/>
    <w:rsid w:val="00415DBF"/>
    <w:rsid w:val="004255EF"/>
    <w:rsid w:val="00467B64"/>
    <w:rsid w:val="004A7725"/>
    <w:rsid w:val="004D10A7"/>
    <w:rsid w:val="004D3326"/>
    <w:rsid w:val="005315A7"/>
    <w:rsid w:val="00584BD5"/>
    <w:rsid w:val="005A3598"/>
    <w:rsid w:val="005D08A4"/>
    <w:rsid w:val="00611C96"/>
    <w:rsid w:val="006B7BB0"/>
    <w:rsid w:val="007B0496"/>
    <w:rsid w:val="007B17E0"/>
    <w:rsid w:val="007B349B"/>
    <w:rsid w:val="007B745D"/>
    <w:rsid w:val="007C6074"/>
    <w:rsid w:val="00803FA4"/>
    <w:rsid w:val="00807091"/>
    <w:rsid w:val="008212F4"/>
    <w:rsid w:val="00920548"/>
    <w:rsid w:val="00924AB9"/>
    <w:rsid w:val="0094728A"/>
    <w:rsid w:val="0095595F"/>
    <w:rsid w:val="009A392E"/>
    <w:rsid w:val="009B2866"/>
    <w:rsid w:val="009E6513"/>
    <w:rsid w:val="00A03A2E"/>
    <w:rsid w:val="00A300A5"/>
    <w:rsid w:val="00A62CEE"/>
    <w:rsid w:val="00A63E12"/>
    <w:rsid w:val="00B173D8"/>
    <w:rsid w:val="00B22FC7"/>
    <w:rsid w:val="00B67EC7"/>
    <w:rsid w:val="00BA4019"/>
    <w:rsid w:val="00BC0496"/>
    <w:rsid w:val="00C15ADC"/>
    <w:rsid w:val="00C46E90"/>
    <w:rsid w:val="00C66F26"/>
    <w:rsid w:val="00C71E73"/>
    <w:rsid w:val="00CB3CC8"/>
    <w:rsid w:val="00D25C2C"/>
    <w:rsid w:val="00E4099A"/>
    <w:rsid w:val="00E4427D"/>
    <w:rsid w:val="00E54AAC"/>
    <w:rsid w:val="00E637D2"/>
    <w:rsid w:val="00E761B7"/>
    <w:rsid w:val="00EB503B"/>
    <w:rsid w:val="00EC26F4"/>
    <w:rsid w:val="00F46175"/>
    <w:rsid w:val="00F73918"/>
    <w:rsid w:val="00F96F85"/>
    <w:rsid w:val="00FB38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D3FBD"/>
  <w15:chartTrackingRefBased/>
  <w15:docId w15:val="{BA7C999B-5017-4248-AD8E-F0FEBAE1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3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3B"/>
    <w:pPr>
      <w:ind w:left="720"/>
      <w:contextualSpacing/>
    </w:pPr>
  </w:style>
  <w:style w:type="paragraph" w:styleId="Footer">
    <w:name w:val="footer"/>
    <w:basedOn w:val="Normal"/>
    <w:link w:val="FooterChar"/>
    <w:uiPriority w:val="99"/>
    <w:unhideWhenUsed/>
    <w:rsid w:val="00EB503B"/>
    <w:pPr>
      <w:tabs>
        <w:tab w:val="center" w:pos="4252"/>
        <w:tab w:val="right" w:pos="8504"/>
      </w:tabs>
      <w:spacing w:after="0" w:line="240" w:lineRule="auto"/>
    </w:pPr>
  </w:style>
  <w:style w:type="character" w:customStyle="1" w:styleId="FooterChar">
    <w:name w:val="Footer Char"/>
    <w:basedOn w:val="DefaultParagraphFont"/>
    <w:link w:val="Footer"/>
    <w:uiPriority w:val="99"/>
    <w:rsid w:val="00EB503B"/>
    <w:rPr>
      <w:rFonts w:ascii="Calibri" w:eastAsia="Calibri" w:hAnsi="Calibri" w:cs="Times New Roman"/>
    </w:rPr>
  </w:style>
  <w:style w:type="paragraph" w:styleId="BodyText">
    <w:name w:val="Body Text"/>
    <w:basedOn w:val="Normal"/>
    <w:link w:val="BodyTextChar"/>
    <w:rsid w:val="00EB503B"/>
    <w:pPr>
      <w:tabs>
        <w:tab w:val="left" w:pos="720"/>
        <w:tab w:val="left" w:pos="2280"/>
        <w:tab w:val="left" w:pos="3360"/>
      </w:tabs>
      <w:spacing w:after="0" w:line="240" w:lineRule="auto"/>
      <w:jc w:val="both"/>
    </w:pPr>
    <w:rPr>
      <w:rFonts w:ascii="Monotype Corsiva" w:eastAsia="Times New Roman" w:hAnsi="Monotype Corsiva"/>
      <w:i/>
      <w:iCs/>
      <w:sz w:val="24"/>
      <w:szCs w:val="24"/>
      <w:lang w:val="es-ES" w:eastAsia="es-ES"/>
    </w:rPr>
  </w:style>
  <w:style w:type="character" w:customStyle="1" w:styleId="BodyTextChar">
    <w:name w:val="Body Text Char"/>
    <w:basedOn w:val="DefaultParagraphFont"/>
    <w:link w:val="BodyText"/>
    <w:rsid w:val="00EB503B"/>
    <w:rPr>
      <w:rFonts w:ascii="Monotype Corsiva" w:eastAsia="Times New Roman" w:hAnsi="Monotype Corsiva" w:cs="Times New Roman"/>
      <w:i/>
      <w:iCs/>
      <w:sz w:val="24"/>
      <w:szCs w:val="24"/>
      <w:lang w:val="es-ES" w:eastAsia="es-ES"/>
    </w:rPr>
  </w:style>
  <w:style w:type="character" w:styleId="CommentReference">
    <w:name w:val="annotation reference"/>
    <w:basedOn w:val="DefaultParagraphFont"/>
    <w:uiPriority w:val="99"/>
    <w:semiHidden/>
    <w:unhideWhenUsed/>
    <w:rsid w:val="00807091"/>
    <w:rPr>
      <w:sz w:val="16"/>
      <w:szCs w:val="16"/>
    </w:rPr>
  </w:style>
  <w:style w:type="paragraph" w:styleId="CommentText">
    <w:name w:val="annotation text"/>
    <w:basedOn w:val="Normal"/>
    <w:link w:val="CommentTextChar"/>
    <w:uiPriority w:val="99"/>
    <w:semiHidden/>
    <w:unhideWhenUsed/>
    <w:rsid w:val="00807091"/>
    <w:pPr>
      <w:spacing w:line="240" w:lineRule="auto"/>
    </w:pPr>
    <w:rPr>
      <w:sz w:val="20"/>
      <w:szCs w:val="20"/>
    </w:rPr>
  </w:style>
  <w:style w:type="character" w:customStyle="1" w:styleId="CommentTextChar">
    <w:name w:val="Comment Text Char"/>
    <w:basedOn w:val="DefaultParagraphFont"/>
    <w:link w:val="CommentText"/>
    <w:uiPriority w:val="99"/>
    <w:semiHidden/>
    <w:rsid w:val="008070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7091"/>
    <w:rPr>
      <w:b/>
      <w:bCs/>
    </w:rPr>
  </w:style>
  <w:style w:type="character" w:customStyle="1" w:styleId="CommentSubjectChar">
    <w:name w:val="Comment Subject Char"/>
    <w:basedOn w:val="CommentTextChar"/>
    <w:link w:val="CommentSubject"/>
    <w:uiPriority w:val="99"/>
    <w:semiHidden/>
    <w:rsid w:val="0080709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7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0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93056">
      <w:bodyDiv w:val="1"/>
      <w:marLeft w:val="0"/>
      <w:marRight w:val="0"/>
      <w:marTop w:val="0"/>
      <w:marBottom w:val="0"/>
      <w:divBdr>
        <w:top w:val="none" w:sz="0" w:space="0" w:color="auto"/>
        <w:left w:val="none" w:sz="0" w:space="0" w:color="auto"/>
        <w:bottom w:val="none" w:sz="0" w:space="0" w:color="auto"/>
        <w:right w:val="none" w:sz="0" w:space="0" w:color="auto"/>
      </w:divBdr>
    </w:div>
    <w:div w:id="20725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818</Words>
  <Characters>4666</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dc:creator>
  <cp:keywords/>
  <dc:description/>
  <cp:lastModifiedBy>Lescano Roxana, Peru</cp:lastModifiedBy>
  <cp:revision>4</cp:revision>
  <dcterms:created xsi:type="dcterms:W3CDTF">2018-09-05T21:28:00Z</dcterms:created>
  <dcterms:modified xsi:type="dcterms:W3CDTF">2018-09-06T13:40:00Z</dcterms:modified>
</cp:coreProperties>
</file>