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60874" w14:textId="77777777" w:rsidR="00A7736B" w:rsidRPr="0038253D" w:rsidRDefault="00A7736B" w:rsidP="00FC3344">
      <w:pPr>
        <w:jc w:val="both"/>
        <w:rPr>
          <w:rFonts w:cs="Arial"/>
          <w:b/>
          <w:sz w:val="28"/>
          <w:szCs w:val="28"/>
        </w:rPr>
      </w:pPr>
      <w:r w:rsidRPr="0038253D">
        <w:rPr>
          <w:rFonts w:cs="Arial"/>
          <w:b/>
          <w:sz w:val="28"/>
          <w:szCs w:val="28"/>
        </w:rPr>
        <w:t>T</w:t>
      </w:r>
      <w:r>
        <w:rPr>
          <w:rFonts w:cs="Arial"/>
          <w:b/>
          <w:sz w:val="28"/>
          <w:szCs w:val="28"/>
        </w:rPr>
        <w:t>emplate Quality Assurance Plan for Clinical Research Studies</w:t>
      </w:r>
    </w:p>
    <w:p w14:paraId="51BF05B5" w14:textId="77777777" w:rsidR="00A7736B" w:rsidRPr="0038253D" w:rsidRDefault="00A7736B" w:rsidP="00FC3344">
      <w:pPr>
        <w:jc w:val="both"/>
        <w:rPr>
          <w:rFonts w:cs="Arial"/>
          <w:b/>
          <w:sz w:val="28"/>
          <w:szCs w:val="28"/>
        </w:rPr>
      </w:pPr>
      <w:r w:rsidRPr="0038253D">
        <w:rPr>
          <w:rFonts w:cs="Arial"/>
          <w:b/>
          <w:sz w:val="28"/>
          <w:szCs w:val="28"/>
        </w:rPr>
        <w:t>Purpose</w:t>
      </w:r>
    </w:p>
    <w:p w14:paraId="284ADA1B" w14:textId="77777777" w:rsidR="00A7736B" w:rsidRPr="0038253D" w:rsidRDefault="00A7736B" w:rsidP="00FC3344">
      <w:pPr>
        <w:pStyle w:val="NormalWeb"/>
        <w:jc w:val="both"/>
        <w:rPr>
          <w:rFonts w:ascii="Calibri" w:hAnsi="Calibri" w:cs="Arial"/>
          <w:color w:val="000000"/>
        </w:rPr>
      </w:pPr>
      <w:r w:rsidRPr="0038253D">
        <w:rPr>
          <w:rFonts w:ascii="Calibri" w:hAnsi="Calibri" w:cs="Arial"/>
          <w:color w:val="000000"/>
        </w:rPr>
        <w:t xml:space="preserve">All research studies on human subjects should have a level of quality and ethical standard </w:t>
      </w:r>
      <w:r>
        <w:rPr>
          <w:rFonts w:ascii="Calibri" w:hAnsi="Calibri" w:cs="Arial"/>
          <w:color w:val="000000"/>
        </w:rPr>
        <w:t>assurance</w:t>
      </w:r>
      <w:r w:rsidRPr="0038253D">
        <w:rPr>
          <w:rFonts w:ascii="Calibri" w:hAnsi="Calibri" w:cs="Arial"/>
          <w:color w:val="000000"/>
        </w:rPr>
        <w:t xml:space="preserve"> built into their operations to ensure that that the rights and well-being of human subjects are protected and that the data are reliable.</w:t>
      </w:r>
    </w:p>
    <w:p w14:paraId="5A9E001E" w14:textId="77777777" w:rsidR="00A7736B" w:rsidRPr="0038253D" w:rsidRDefault="00A7736B" w:rsidP="00FC3344">
      <w:pPr>
        <w:pStyle w:val="Default"/>
        <w:jc w:val="both"/>
        <w:rPr>
          <w:rFonts w:ascii="Calibri" w:hAnsi="Calibri"/>
        </w:rPr>
      </w:pPr>
      <w:r>
        <w:rPr>
          <w:rFonts w:ascii="Calibri" w:hAnsi="Calibri" w:cs="Arial"/>
        </w:rPr>
        <w:t>ICH GCP (</w:t>
      </w:r>
      <w:bookmarkStart w:id="0" w:name="_GoBack"/>
      <w:bookmarkEnd w:id="0"/>
      <w:r>
        <w:rPr>
          <w:rFonts w:ascii="Calibri" w:hAnsi="Calibri" w:cs="Arial"/>
        </w:rPr>
        <w:t>1</w:t>
      </w:r>
      <w:r w:rsidRPr="0038253D">
        <w:rPr>
          <w:rFonts w:ascii="Calibri" w:hAnsi="Calibri" w:cs="Arial"/>
        </w:rPr>
        <w:t>) applies to all research on human subject</w:t>
      </w:r>
      <w:r>
        <w:rPr>
          <w:rFonts w:ascii="Calibri" w:hAnsi="Calibri" w:cs="Arial"/>
        </w:rPr>
        <w:t>s</w:t>
      </w:r>
      <w:r w:rsidRPr="0038253D">
        <w:rPr>
          <w:rFonts w:ascii="Calibri" w:hAnsi="Calibri" w:cs="Arial"/>
        </w:rPr>
        <w:t xml:space="preserve"> and states that the appropriate extent and nature of monitoring should </w:t>
      </w:r>
      <w:r>
        <w:rPr>
          <w:rFonts w:ascii="Calibri" w:hAnsi="Calibri" w:cs="Arial"/>
        </w:rPr>
        <w:t xml:space="preserve">be </w:t>
      </w:r>
      <w:r w:rsidRPr="0038253D">
        <w:rPr>
          <w:rFonts w:ascii="Calibri" w:hAnsi="Calibri" w:cs="Arial"/>
        </w:rPr>
        <w:t xml:space="preserve">determined for each study based on considerations such as the objective, purpose, design, complexity, blinding, size and endpoints of the study. This document applies those considerations to the WHO </w:t>
      </w:r>
      <w:r w:rsidRPr="0038253D">
        <w:rPr>
          <w:rFonts w:ascii="Calibri" w:hAnsi="Calibri"/>
        </w:rPr>
        <w:t>protocol for surveillance of the therapeutic efficacy of antimalarial medicines</w:t>
      </w:r>
      <w:r w:rsidRPr="0038253D">
        <w:rPr>
          <w:rFonts w:ascii="Calibri" w:hAnsi="Calibri" w:cs="Arial"/>
        </w:rPr>
        <w:t xml:space="preserve"> </w:t>
      </w:r>
      <w:r w:rsidRPr="0038253D">
        <w:rPr>
          <w:rFonts w:ascii="Calibri" w:hAnsi="Calibri"/>
        </w:rPr>
        <w:t>(</w:t>
      </w:r>
      <w:r>
        <w:rPr>
          <w:rFonts w:ascii="Calibri" w:hAnsi="Calibri"/>
        </w:rPr>
        <w:t>2</w:t>
      </w:r>
      <w:r w:rsidRPr="0038253D">
        <w:rPr>
          <w:rFonts w:ascii="Calibri" w:hAnsi="Calibri"/>
        </w:rPr>
        <w:t xml:space="preserve">) with the aim of enabling sites to </w:t>
      </w:r>
      <w:r>
        <w:rPr>
          <w:rFonts w:ascii="Calibri" w:hAnsi="Calibri"/>
        </w:rPr>
        <w:t>design and implement</w:t>
      </w:r>
      <w:r w:rsidRPr="0038253D">
        <w:rPr>
          <w:rFonts w:ascii="Calibri" w:hAnsi="Calibri"/>
        </w:rPr>
        <w:t xml:space="preserve"> a </w:t>
      </w:r>
      <w:r>
        <w:rPr>
          <w:rFonts w:ascii="Calibri" w:hAnsi="Calibri"/>
        </w:rPr>
        <w:t>pragmatic and effective q</w:t>
      </w:r>
      <w:r w:rsidRPr="0038253D">
        <w:rPr>
          <w:rFonts w:ascii="Calibri" w:hAnsi="Calibri"/>
        </w:rPr>
        <w:t>uality assurance plan for their antimalarial drug surveillance studies.</w:t>
      </w:r>
    </w:p>
    <w:p w14:paraId="7A777595" w14:textId="77777777" w:rsidR="00A7736B" w:rsidRDefault="00A7736B" w:rsidP="00FC3344">
      <w:pPr>
        <w:pStyle w:val="NormalWeb"/>
        <w:jc w:val="both"/>
        <w:rPr>
          <w:rFonts w:ascii="Calibri" w:hAnsi="Calibri" w:cs="Arial"/>
          <w:color w:val="000000"/>
        </w:rPr>
      </w:pPr>
      <w:r w:rsidRPr="0038253D">
        <w:rPr>
          <w:rFonts w:ascii="Calibri" w:hAnsi="Calibri" w:cs="Arial"/>
          <w:color w:val="000000"/>
        </w:rPr>
        <w:t xml:space="preserve">An important element of assuring data quality is comparing the entries in the database with the original source </w:t>
      </w:r>
      <w:r>
        <w:rPr>
          <w:rFonts w:ascii="Calibri" w:hAnsi="Calibri" w:cs="Arial"/>
          <w:color w:val="000000"/>
        </w:rPr>
        <w:t>of the data</w:t>
      </w:r>
      <w:r w:rsidRPr="0038253D">
        <w:rPr>
          <w:rFonts w:ascii="Calibri" w:hAnsi="Calibri" w:cs="Arial"/>
          <w:color w:val="000000"/>
        </w:rPr>
        <w:t xml:space="preserve"> (e.g. laboratory results). This procedure is known as Source Data Verification (SDV). The process of quality assurance should be straightforward and pragmatic and easily built into a research team’s operations. Contracting an external </w:t>
      </w:r>
      <w:r>
        <w:rPr>
          <w:rFonts w:ascii="Calibri" w:hAnsi="Calibri" w:cs="Arial"/>
          <w:color w:val="000000"/>
        </w:rPr>
        <w:t>monitoring contract</w:t>
      </w:r>
      <w:r w:rsidRPr="0038253D">
        <w:rPr>
          <w:rFonts w:ascii="Calibri" w:hAnsi="Calibri" w:cs="Arial"/>
          <w:color w:val="000000"/>
        </w:rPr>
        <w:t xml:space="preserve"> </w:t>
      </w:r>
      <w:proofErr w:type="spellStart"/>
      <w:r w:rsidRPr="0038253D">
        <w:rPr>
          <w:rFonts w:ascii="Calibri" w:hAnsi="Calibri" w:cs="Arial"/>
          <w:color w:val="000000"/>
        </w:rPr>
        <w:t>organisation</w:t>
      </w:r>
      <w:proofErr w:type="spellEnd"/>
      <w:r w:rsidRPr="0038253D">
        <w:rPr>
          <w:rFonts w:ascii="Calibri" w:hAnsi="Calibri" w:cs="Arial"/>
          <w:color w:val="000000"/>
        </w:rPr>
        <w:t xml:space="preserve"> is not normal or warranted for these studies</w:t>
      </w:r>
      <w:r>
        <w:rPr>
          <w:rFonts w:ascii="Calibri" w:hAnsi="Calibri" w:cs="Arial"/>
          <w:color w:val="000000"/>
        </w:rPr>
        <w:t>, yet there is a need for ensuring that data and ethical standards are met.</w:t>
      </w:r>
      <w:r w:rsidRPr="0038253D">
        <w:rPr>
          <w:rFonts w:ascii="Calibri" w:hAnsi="Calibri" w:cs="Arial"/>
          <w:color w:val="000000"/>
        </w:rPr>
        <w:t xml:space="preserve"> </w:t>
      </w:r>
      <w:r>
        <w:rPr>
          <w:rFonts w:ascii="Calibri" w:hAnsi="Calibri" w:cs="Arial"/>
          <w:color w:val="000000"/>
        </w:rPr>
        <w:t>A</w:t>
      </w:r>
      <w:r w:rsidRPr="0038253D">
        <w:rPr>
          <w:rFonts w:ascii="Calibri" w:hAnsi="Calibri" w:cs="Arial"/>
          <w:color w:val="000000"/>
        </w:rPr>
        <w:t xml:space="preserve"> good in-house or reciprocal (with other sites in a network) scheme can be put in place and carry this task out perfectly well. </w:t>
      </w:r>
      <w:r>
        <w:rPr>
          <w:rFonts w:ascii="Calibri" w:hAnsi="Calibri" w:cs="Arial"/>
          <w:color w:val="000000"/>
        </w:rPr>
        <w:t>Irrespective of who it is that is tasked with carrying out this important role, they should be considered positively as part standard research practice with objectives of guiding and supporting the study. This is not audit, policing, but helpful and constructive. It</w:t>
      </w:r>
      <w:r w:rsidRPr="0038253D">
        <w:rPr>
          <w:rFonts w:ascii="Calibri" w:hAnsi="Calibri" w:cs="Arial"/>
          <w:color w:val="000000"/>
        </w:rPr>
        <w:t xml:space="preserve"> is the responsibility </w:t>
      </w:r>
      <w:r>
        <w:rPr>
          <w:rFonts w:ascii="Calibri" w:hAnsi="Calibri" w:cs="Arial"/>
          <w:color w:val="000000"/>
        </w:rPr>
        <w:t>of the</w:t>
      </w:r>
      <w:r w:rsidRPr="0038253D">
        <w:rPr>
          <w:rFonts w:ascii="Calibri" w:hAnsi="Calibri" w:cs="Arial"/>
          <w:color w:val="000000"/>
        </w:rPr>
        <w:t xml:space="preserve"> Investigator for the study and appropriate staff team members to ensure high standards of data collection and Source Data Verificati</w:t>
      </w:r>
      <w:r>
        <w:rPr>
          <w:rFonts w:ascii="Calibri" w:hAnsi="Calibri" w:cs="Arial"/>
          <w:color w:val="000000"/>
        </w:rPr>
        <w:t xml:space="preserve">on are maintained at all times. Here we present a guideline and template tool to put a simple system in place for this. </w:t>
      </w:r>
    </w:p>
    <w:p w14:paraId="53E6CA8A" w14:textId="77777777" w:rsidR="00A7736B" w:rsidRPr="0038253D" w:rsidRDefault="00A7736B" w:rsidP="00FC3344">
      <w:pPr>
        <w:pStyle w:val="NormalWeb"/>
        <w:jc w:val="both"/>
        <w:rPr>
          <w:rFonts w:ascii="Calibri" w:hAnsi="Calibri" w:cs="Arial"/>
          <w:b/>
          <w:szCs w:val="28"/>
        </w:rPr>
      </w:pPr>
      <w:r w:rsidRPr="0038253D">
        <w:rPr>
          <w:rFonts w:ascii="Calibri" w:hAnsi="Calibri" w:cs="Arial"/>
          <w:color w:val="000000"/>
        </w:rPr>
        <w:t xml:space="preserve">This template guides the investigator in preparing and </w:t>
      </w:r>
      <w:proofErr w:type="spellStart"/>
      <w:r w:rsidRPr="0038253D">
        <w:rPr>
          <w:rFonts w:ascii="Calibri" w:hAnsi="Calibri" w:cs="Arial"/>
          <w:color w:val="000000"/>
        </w:rPr>
        <w:t>operationalising</w:t>
      </w:r>
      <w:proofErr w:type="spellEnd"/>
      <w:r w:rsidRPr="0038253D">
        <w:rPr>
          <w:rFonts w:ascii="Calibri" w:hAnsi="Calibri" w:cs="Arial"/>
          <w:color w:val="000000"/>
        </w:rPr>
        <w:t xml:space="preserve"> a quality assurance plan. </w:t>
      </w:r>
      <w:r>
        <w:rPr>
          <w:rFonts w:ascii="Calibri" w:hAnsi="Calibri" w:cs="Arial"/>
          <w:color w:val="000000"/>
        </w:rPr>
        <w:t>Therefore, whether an external sponsor is responsible, or the investigator is putting in place their own quality assurance procedure we recommend this document is used to ensure a simple, pragmatic process that is specially designed for this type of study to ensure valid data and ethical practices.</w:t>
      </w:r>
    </w:p>
    <w:p w14:paraId="57F5023F" w14:textId="77777777" w:rsidR="00A7736B" w:rsidRPr="0038253D" w:rsidRDefault="00A7736B" w:rsidP="00FC3344">
      <w:pPr>
        <w:jc w:val="both"/>
        <w:rPr>
          <w:rFonts w:cs="Arial"/>
          <w:b/>
          <w:sz w:val="28"/>
          <w:szCs w:val="28"/>
        </w:rPr>
      </w:pPr>
      <w:r w:rsidRPr="0038253D">
        <w:rPr>
          <w:rFonts w:cs="Arial"/>
          <w:b/>
          <w:sz w:val="28"/>
          <w:szCs w:val="28"/>
        </w:rPr>
        <w:t>Scope</w:t>
      </w:r>
    </w:p>
    <w:p w14:paraId="6D641D3A" w14:textId="77777777" w:rsidR="00A7736B" w:rsidRDefault="00A7736B" w:rsidP="00FC3344">
      <w:pPr>
        <w:jc w:val="both"/>
        <w:rPr>
          <w:rFonts w:cs="Arial"/>
        </w:rPr>
      </w:pPr>
      <w:r w:rsidRPr="00D86302">
        <w:rPr>
          <w:rFonts w:cs="Arial"/>
        </w:rPr>
        <w:t xml:space="preserve">This document is designed specifically for investigators running </w:t>
      </w:r>
      <w:r>
        <w:rPr>
          <w:rFonts w:cs="Arial"/>
        </w:rPr>
        <w:t>all types of clinical</w:t>
      </w:r>
      <w:r w:rsidRPr="00D86302">
        <w:rPr>
          <w:rFonts w:cs="Arial"/>
        </w:rPr>
        <w:t xml:space="preserve"> studies </w:t>
      </w:r>
      <w:r>
        <w:rPr>
          <w:rFonts w:cs="Arial"/>
        </w:rPr>
        <w:t>to guide the development of</w:t>
      </w:r>
      <w:r w:rsidRPr="00D86302">
        <w:rPr>
          <w:rFonts w:cs="Arial"/>
        </w:rPr>
        <w:t xml:space="preserve"> an operational </w:t>
      </w:r>
      <w:r>
        <w:rPr>
          <w:rFonts w:cs="Arial"/>
        </w:rPr>
        <w:t>tool</w:t>
      </w:r>
      <w:r w:rsidRPr="00D86302">
        <w:rPr>
          <w:rFonts w:cs="Arial"/>
        </w:rPr>
        <w:t xml:space="preserve"> to </w:t>
      </w:r>
      <w:r>
        <w:rPr>
          <w:rFonts w:cs="Arial"/>
        </w:rPr>
        <w:t>confirm</w:t>
      </w:r>
      <w:r w:rsidRPr="00D86302">
        <w:rPr>
          <w:rFonts w:cs="Arial"/>
        </w:rPr>
        <w:t xml:space="preserve"> quality and ethical standards within their studies. </w:t>
      </w:r>
      <w:r>
        <w:rPr>
          <w:rFonts w:cs="Arial"/>
        </w:rPr>
        <w:t>Therefore, this</w:t>
      </w:r>
      <w:r w:rsidRPr="00D86302">
        <w:rPr>
          <w:rFonts w:cs="Arial"/>
        </w:rPr>
        <w:t xml:space="preserve"> is a pragmatic approach that could be adapted for </w:t>
      </w:r>
      <w:r>
        <w:rPr>
          <w:rFonts w:cs="Arial"/>
        </w:rPr>
        <w:t xml:space="preserve">all </w:t>
      </w:r>
      <w:r w:rsidRPr="00D86302">
        <w:rPr>
          <w:rFonts w:cs="Arial"/>
        </w:rPr>
        <w:t>non-interventional clinical research studies.</w:t>
      </w:r>
    </w:p>
    <w:p w14:paraId="34C21AF4" w14:textId="77777777" w:rsidR="00A7736B" w:rsidRDefault="00A7736B" w:rsidP="00FC3344">
      <w:pPr>
        <w:jc w:val="both"/>
        <w:rPr>
          <w:rFonts w:cs="Arial"/>
          <w:b/>
          <w:sz w:val="28"/>
          <w:szCs w:val="28"/>
        </w:rPr>
      </w:pPr>
    </w:p>
    <w:p w14:paraId="1590D73D" w14:textId="77777777" w:rsidR="00A7736B" w:rsidRDefault="00A7736B" w:rsidP="00FC3344">
      <w:pPr>
        <w:jc w:val="both"/>
        <w:rPr>
          <w:rFonts w:cs="Arial"/>
          <w:b/>
          <w:sz w:val="28"/>
          <w:szCs w:val="28"/>
        </w:rPr>
      </w:pPr>
    </w:p>
    <w:p w14:paraId="709DF568" w14:textId="77777777" w:rsidR="00A7736B" w:rsidRPr="00846669" w:rsidRDefault="00A7736B" w:rsidP="00FC3344">
      <w:pPr>
        <w:jc w:val="both"/>
        <w:rPr>
          <w:rFonts w:cs="Arial"/>
          <w:b/>
          <w:sz w:val="28"/>
          <w:szCs w:val="28"/>
        </w:rPr>
      </w:pPr>
      <w:r w:rsidRPr="00846669">
        <w:rPr>
          <w:rFonts w:cs="Arial"/>
          <w:b/>
          <w:sz w:val="28"/>
          <w:szCs w:val="28"/>
        </w:rPr>
        <w:t>How to use this document</w:t>
      </w:r>
    </w:p>
    <w:p w14:paraId="76DC8419" w14:textId="77777777" w:rsidR="00A7736B" w:rsidRPr="0038253D" w:rsidRDefault="00A7736B" w:rsidP="00FC3344">
      <w:pPr>
        <w:jc w:val="both"/>
        <w:rPr>
          <w:rFonts w:cs="Arial"/>
        </w:rPr>
      </w:pPr>
      <w:r>
        <w:rPr>
          <w:rFonts w:cs="Arial"/>
        </w:rPr>
        <w:t xml:space="preserve">The following steps are written to guide a study team in planning how to assure that high ethical and data standards are met for their antimalarial surveillance study. The person </w:t>
      </w:r>
      <w:r>
        <w:rPr>
          <w:rFonts w:cs="Arial"/>
        </w:rPr>
        <w:lastRenderedPageBreak/>
        <w:t>designated to prepare this plan should use the headings in the contents provided below and insert text within each section, replacing the guidance text in brackets and italics.</w:t>
      </w:r>
    </w:p>
    <w:p w14:paraId="04C4B3E3" w14:textId="77777777" w:rsidR="00A7736B" w:rsidRDefault="00A7736B" w:rsidP="00FC3344">
      <w:pPr>
        <w:ind w:left="360"/>
        <w:jc w:val="both"/>
        <w:rPr>
          <w:rFonts w:cs="Arial"/>
          <w:b/>
          <w:szCs w:val="28"/>
        </w:rPr>
      </w:pPr>
    </w:p>
    <w:p w14:paraId="0935C83C" w14:textId="77777777" w:rsidR="00A7736B" w:rsidRPr="007012B5" w:rsidRDefault="00A7736B" w:rsidP="00FC3344">
      <w:pPr>
        <w:numPr>
          <w:ilvl w:val="0"/>
          <w:numId w:val="7"/>
        </w:numPr>
        <w:jc w:val="both"/>
        <w:rPr>
          <w:rFonts w:cs="Arial"/>
          <w:b/>
          <w:szCs w:val="28"/>
        </w:rPr>
      </w:pPr>
      <w:r>
        <w:rPr>
          <w:rFonts w:cs="Arial"/>
          <w:b/>
          <w:szCs w:val="28"/>
        </w:rPr>
        <w:t xml:space="preserve">Study details </w:t>
      </w:r>
      <w:r w:rsidRPr="007012B5">
        <w:rPr>
          <w:rFonts w:cs="Arial"/>
          <w:i/>
          <w:szCs w:val="28"/>
        </w:rPr>
        <w:t>(study name, location, investigator, number of subjects)</w:t>
      </w:r>
    </w:p>
    <w:p w14:paraId="6F4F652F" w14:textId="77777777" w:rsidR="00A7736B" w:rsidRDefault="00A7736B" w:rsidP="00FC3344">
      <w:pPr>
        <w:jc w:val="both"/>
        <w:rPr>
          <w:rFonts w:cs="Arial"/>
          <w:b/>
          <w:szCs w:val="28"/>
        </w:rPr>
      </w:pPr>
    </w:p>
    <w:p w14:paraId="53E9AF8A" w14:textId="77777777" w:rsidR="00A7736B" w:rsidRPr="0038253D" w:rsidRDefault="00A7736B" w:rsidP="00FC3344">
      <w:pPr>
        <w:numPr>
          <w:ilvl w:val="0"/>
          <w:numId w:val="7"/>
        </w:numPr>
        <w:jc w:val="both"/>
        <w:rPr>
          <w:rFonts w:cs="Arial"/>
          <w:b/>
          <w:szCs w:val="28"/>
        </w:rPr>
      </w:pPr>
      <w:r>
        <w:rPr>
          <w:rFonts w:cs="Arial"/>
          <w:b/>
          <w:szCs w:val="28"/>
        </w:rPr>
        <w:t>Procedure</w:t>
      </w:r>
    </w:p>
    <w:p w14:paraId="47001786" w14:textId="77777777" w:rsidR="00A7736B" w:rsidRPr="007012B5" w:rsidRDefault="00A7736B" w:rsidP="00FC3344">
      <w:pPr>
        <w:pStyle w:val="NormalWeb"/>
        <w:jc w:val="both"/>
        <w:rPr>
          <w:rFonts w:ascii="Calibri" w:hAnsi="Calibri" w:cs="Arial"/>
          <w:b/>
          <w:sz w:val="22"/>
        </w:rPr>
      </w:pPr>
      <w:r w:rsidRPr="007012B5">
        <w:rPr>
          <w:rFonts w:ascii="Calibri" w:hAnsi="Calibri" w:cs="Arial"/>
          <w:b/>
          <w:sz w:val="22"/>
        </w:rPr>
        <w:t xml:space="preserve">Name of person(s) or </w:t>
      </w:r>
      <w:proofErr w:type="spellStart"/>
      <w:r w:rsidRPr="007012B5">
        <w:rPr>
          <w:rFonts w:ascii="Calibri" w:hAnsi="Calibri" w:cs="Arial"/>
          <w:b/>
          <w:sz w:val="22"/>
        </w:rPr>
        <w:t>organisation</w:t>
      </w:r>
      <w:proofErr w:type="spellEnd"/>
      <w:r w:rsidRPr="007012B5">
        <w:rPr>
          <w:rFonts w:ascii="Calibri" w:hAnsi="Calibri" w:cs="Arial"/>
          <w:b/>
          <w:sz w:val="22"/>
        </w:rPr>
        <w:t xml:space="preserve"> that will be performing the quality assurance</w:t>
      </w:r>
      <w:r>
        <w:rPr>
          <w:rFonts w:ascii="Calibri" w:hAnsi="Calibri" w:cs="Arial"/>
          <w:b/>
          <w:sz w:val="22"/>
        </w:rPr>
        <w:t>:</w:t>
      </w:r>
    </w:p>
    <w:p w14:paraId="69935A13" w14:textId="77777777" w:rsidR="00A7736B" w:rsidRPr="007012B5" w:rsidRDefault="00A7736B" w:rsidP="00FC3344">
      <w:pPr>
        <w:pStyle w:val="NormalWeb"/>
        <w:jc w:val="both"/>
        <w:rPr>
          <w:rFonts w:ascii="Calibri" w:hAnsi="Calibri" w:cs="Arial"/>
          <w:i/>
          <w:sz w:val="22"/>
        </w:rPr>
      </w:pPr>
      <w:r w:rsidRPr="007012B5">
        <w:rPr>
          <w:rFonts w:ascii="Calibri" w:hAnsi="Calibri" w:cs="Arial"/>
          <w:i/>
          <w:sz w:val="22"/>
        </w:rPr>
        <w:t>(</w:t>
      </w:r>
      <w:r>
        <w:rPr>
          <w:rFonts w:ascii="Calibri" w:hAnsi="Calibri" w:cs="Arial"/>
          <w:i/>
          <w:sz w:val="22"/>
        </w:rPr>
        <w:t xml:space="preserve">It is quite acceptable for a member of the study team to be assigned the task of study quality assurance manager (QAM). However, it is typically a role given to someone separate from the study team which has advantages as this brings independence, perhaps someone working for another study team at the same </w:t>
      </w:r>
      <w:proofErr w:type="spellStart"/>
      <w:r>
        <w:rPr>
          <w:rFonts w:ascii="Calibri" w:hAnsi="Calibri" w:cs="Arial"/>
          <w:i/>
          <w:sz w:val="22"/>
        </w:rPr>
        <w:t>centre</w:t>
      </w:r>
      <w:proofErr w:type="spellEnd"/>
      <w:r>
        <w:rPr>
          <w:rFonts w:ascii="Calibri" w:hAnsi="Calibri" w:cs="Arial"/>
          <w:i/>
          <w:sz w:val="22"/>
        </w:rPr>
        <w:t>? An external sponsor may have contracted this out to a CRO, or have their own QAM. If the study is being run within a network, it might be advantageous for a reciprocal monitoring scheme to be established. Whoever is conducting this study it is advisable for the investigator and their study team to write this plan so that it is highly specific and appropriate for their study and circumstances.</w:t>
      </w:r>
    </w:p>
    <w:p w14:paraId="54F38868" w14:textId="77777777" w:rsidR="00A7736B" w:rsidRPr="007012B5" w:rsidRDefault="00A7736B" w:rsidP="00FC3344">
      <w:pPr>
        <w:pStyle w:val="NormalWeb"/>
        <w:jc w:val="both"/>
        <w:rPr>
          <w:rFonts w:ascii="Calibri" w:hAnsi="Calibri" w:cs="Arial"/>
          <w:b/>
          <w:sz w:val="22"/>
        </w:rPr>
      </w:pPr>
      <w:r>
        <w:rPr>
          <w:rFonts w:ascii="Calibri" w:hAnsi="Calibri" w:cs="Arial"/>
          <w:b/>
          <w:sz w:val="22"/>
        </w:rPr>
        <w:t>Details of timing of quality assurance activities</w:t>
      </w:r>
    </w:p>
    <w:p w14:paraId="1DC4E123" w14:textId="77777777" w:rsidR="00A7736B" w:rsidRPr="007012B5" w:rsidRDefault="00A7736B" w:rsidP="00FC3344">
      <w:pPr>
        <w:pStyle w:val="NormalWeb"/>
        <w:jc w:val="both"/>
        <w:rPr>
          <w:rFonts w:ascii="Calibri" w:hAnsi="Calibri" w:cs="Arial"/>
          <w:i/>
          <w:sz w:val="22"/>
        </w:rPr>
      </w:pPr>
      <w:r>
        <w:rPr>
          <w:rFonts w:ascii="Calibri" w:hAnsi="Calibri" w:cs="Arial"/>
          <w:i/>
          <w:sz w:val="22"/>
        </w:rPr>
        <w:t>(This should begin as soon as possible after the study begins and the timing of this should be agreed between the investigator and the quality assurance manager and detailed here. Then subsequent ‘visits’ should also be planned and detailed here. This will be a pragmatic decision based on whether it is someone internal or external. The volume of work will be dictated by the frequency and time needed for these ‘visits’ it will depend on the number of participants and how quickly they are enrolled. An initial plan can be put in place based on estimated recruitments times and this can be adjusted if needed as the study progresses. For the first 30 participants 100% SDV checking is recommended for all visits. For the remaining participants it is recommends that 25% of the data points are checked against the source date. Here details of which data points for which visits will be checked and how they will be selected should be described.)</w:t>
      </w:r>
    </w:p>
    <w:p w14:paraId="24FDD003" w14:textId="77777777" w:rsidR="00A7736B" w:rsidRPr="0038253D" w:rsidRDefault="00A7736B" w:rsidP="00FC3344">
      <w:pPr>
        <w:pStyle w:val="NormalWeb"/>
        <w:jc w:val="both"/>
        <w:rPr>
          <w:rFonts w:ascii="Calibri" w:hAnsi="Calibri" w:cs="Arial"/>
          <w:b/>
          <w:sz w:val="22"/>
        </w:rPr>
      </w:pPr>
      <w:r w:rsidRPr="0038253D">
        <w:rPr>
          <w:rFonts w:ascii="Calibri" w:hAnsi="Calibri" w:cs="Arial"/>
          <w:b/>
          <w:sz w:val="22"/>
        </w:rPr>
        <w:t>Preparation</w:t>
      </w:r>
      <w:r>
        <w:rPr>
          <w:rFonts w:ascii="Calibri" w:hAnsi="Calibri" w:cs="Arial"/>
          <w:b/>
          <w:sz w:val="22"/>
        </w:rPr>
        <w:t xml:space="preserve"> needed by study staff prior to a quality assurance visit</w:t>
      </w:r>
    </w:p>
    <w:p w14:paraId="3821C3D4" w14:textId="77777777" w:rsidR="00A7736B" w:rsidRPr="00CA54C4" w:rsidRDefault="00A7736B" w:rsidP="00FC3344">
      <w:pPr>
        <w:pStyle w:val="NormalWeb"/>
        <w:jc w:val="both"/>
        <w:rPr>
          <w:rFonts w:ascii="Calibri" w:hAnsi="Calibri" w:cs="Arial"/>
          <w:i/>
          <w:sz w:val="22"/>
        </w:rPr>
      </w:pPr>
      <w:r>
        <w:rPr>
          <w:rFonts w:ascii="Calibri" w:hAnsi="Calibri" w:cs="Arial"/>
          <w:i/>
          <w:sz w:val="22"/>
        </w:rPr>
        <w:t xml:space="preserve">(To confirm data is valid and correct it is necessary to cross check against the original record. This is called the source data. So to confirm a patient attended a clinic, for example, the clinic records can be checked. To ensure a correct blood sample or PCR result is as is recorded on the database the original lab record sheet should be cross referenced. </w:t>
      </w:r>
      <w:r w:rsidRPr="00CA54C4">
        <w:rPr>
          <w:rFonts w:ascii="Calibri" w:hAnsi="Calibri" w:cs="Arial"/>
          <w:i/>
          <w:sz w:val="22"/>
        </w:rPr>
        <w:t>Where possible, all</w:t>
      </w:r>
      <w:r>
        <w:rPr>
          <w:rFonts w:ascii="Calibri" w:hAnsi="Calibri" w:cs="Arial"/>
          <w:i/>
          <w:sz w:val="22"/>
        </w:rPr>
        <w:t xml:space="preserve"> study documents, forms and data bases s</w:t>
      </w:r>
      <w:r w:rsidRPr="00CA54C4">
        <w:rPr>
          <w:rFonts w:ascii="Calibri" w:hAnsi="Calibri" w:cs="Arial"/>
          <w:i/>
          <w:sz w:val="22"/>
        </w:rPr>
        <w:t>hould be up to date</w:t>
      </w:r>
      <w:r>
        <w:rPr>
          <w:rFonts w:ascii="Calibri" w:hAnsi="Calibri" w:cs="Arial"/>
          <w:i/>
          <w:sz w:val="22"/>
        </w:rPr>
        <w:t xml:space="preserve"> prior to a QAM visit. Not every single data point needs to be verified, as explained below. However, the documents and information needed should be thought about and detailed here so they can be ready for this validation process. Informed consent forms are an important component. </w:t>
      </w:r>
      <w:r w:rsidRPr="00CA54C4">
        <w:rPr>
          <w:rFonts w:ascii="Calibri" w:hAnsi="Calibri" w:cs="Arial"/>
          <w:i/>
          <w:sz w:val="22"/>
        </w:rPr>
        <w:t>A room or quiet desk should be booked for the use during the visit</w:t>
      </w:r>
      <w:r>
        <w:rPr>
          <w:rFonts w:ascii="Calibri" w:hAnsi="Calibri" w:cs="Arial"/>
          <w:i/>
          <w:sz w:val="22"/>
        </w:rPr>
        <w:t>. The study team should be aware of the planned visits and be able to make available the necessary time and assistance)</w:t>
      </w:r>
    </w:p>
    <w:p w14:paraId="2FC7680F" w14:textId="77777777" w:rsidR="005703C1" w:rsidRDefault="005703C1" w:rsidP="00FC3344">
      <w:pPr>
        <w:pStyle w:val="NormalWeb"/>
        <w:jc w:val="both"/>
        <w:rPr>
          <w:rFonts w:ascii="Calibri" w:hAnsi="Calibri" w:cs="Arial"/>
          <w:b/>
          <w:sz w:val="22"/>
        </w:rPr>
      </w:pPr>
    </w:p>
    <w:p w14:paraId="02627376" w14:textId="77777777" w:rsidR="00A7736B" w:rsidRDefault="00A7736B" w:rsidP="00FC3344">
      <w:pPr>
        <w:pStyle w:val="NormalWeb"/>
        <w:jc w:val="both"/>
        <w:rPr>
          <w:rFonts w:ascii="Calibri" w:hAnsi="Calibri" w:cs="Arial"/>
          <w:b/>
          <w:sz w:val="22"/>
        </w:rPr>
      </w:pPr>
      <w:r>
        <w:rPr>
          <w:rFonts w:ascii="Calibri" w:hAnsi="Calibri" w:cs="Arial"/>
          <w:b/>
          <w:sz w:val="22"/>
        </w:rPr>
        <w:t>Details of the Quality Assurance Visits</w:t>
      </w:r>
    </w:p>
    <w:p w14:paraId="15F4285F" w14:textId="77777777" w:rsidR="00A7736B" w:rsidRDefault="00A7736B" w:rsidP="00FC3344">
      <w:pPr>
        <w:pStyle w:val="NormalWeb"/>
        <w:jc w:val="both"/>
        <w:rPr>
          <w:rFonts w:ascii="Calibri" w:hAnsi="Calibri" w:cs="Arial"/>
          <w:b/>
          <w:sz w:val="22"/>
        </w:rPr>
      </w:pPr>
      <w:r>
        <w:rPr>
          <w:rFonts w:ascii="Calibri" w:hAnsi="Calibri" w:cs="Arial"/>
          <w:i/>
          <w:sz w:val="22"/>
        </w:rPr>
        <w:t>(</w:t>
      </w:r>
      <w:r w:rsidRPr="00BB3420">
        <w:rPr>
          <w:rFonts w:ascii="Calibri" w:hAnsi="Calibri" w:cs="Arial"/>
          <w:i/>
          <w:sz w:val="22"/>
        </w:rPr>
        <w:t>On the day of the visit the Lead Investigator or other nominated team member</w:t>
      </w:r>
      <w:r>
        <w:rPr>
          <w:rFonts w:ascii="Calibri" w:hAnsi="Calibri" w:cs="Arial"/>
          <w:i/>
          <w:sz w:val="22"/>
        </w:rPr>
        <w:t>(s)</w:t>
      </w:r>
      <w:r w:rsidRPr="00BB3420">
        <w:rPr>
          <w:rFonts w:ascii="Calibri" w:hAnsi="Calibri" w:cs="Arial"/>
          <w:i/>
          <w:sz w:val="22"/>
        </w:rPr>
        <w:t xml:space="preserve"> must be available to show the </w:t>
      </w:r>
      <w:r>
        <w:rPr>
          <w:rFonts w:ascii="Calibri" w:hAnsi="Calibri" w:cs="Arial"/>
          <w:i/>
          <w:sz w:val="22"/>
        </w:rPr>
        <w:t>quality assu</w:t>
      </w:r>
      <w:r w:rsidRPr="00BB3420">
        <w:rPr>
          <w:rFonts w:ascii="Calibri" w:hAnsi="Calibri" w:cs="Arial"/>
          <w:i/>
          <w:sz w:val="22"/>
        </w:rPr>
        <w:t>r</w:t>
      </w:r>
      <w:r>
        <w:rPr>
          <w:rFonts w:ascii="Calibri" w:hAnsi="Calibri" w:cs="Arial"/>
          <w:i/>
          <w:sz w:val="22"/>
        </w:rPr>
        <w:t>ance manager</w:t>
      </w:r>
      <w:r w:rsidRPr="00BB3420">
        <w:rPr>
          <w:rFonts w:ascii="Calibri" w:hAnsi="Calibri" w:cs="Arial"/>
          <w:i/>
          <w:sz w:val="22"/>
        </w:rPr>
        <w:t xml:space="preserve"> to their allocated </w:t>
      </w:r>
      <w:r>
        <w:rPr>
          <w:rFonts w:ascii="Calibri" w:hAnsi="Calibri" w:cs="Arial"/>
          <w:i/>
          <w:sz w:val="22"/>
        </w:rPr>
        <w:t>space or</w:t>
      </w:r>
      <w:r w:rsidRPr="00BB3420">
        <w:rPr>
          <w:rFonts w:ascii="Calibri" w:hAnsi="Calibri" w:cs="Arial"/>
          <w:i/>
          <w:sz w:val="22"/>
        </w:rPr>
        <w:t xml:space="preserve"> room and ascertain that </w:t>
      </w:r>
      <w:r>
        <w:rPr>
          <w:rFonts w:ascii="Calibri" w:hAnsi="Calibri" w:cs="Arial"/>
          <w:i/>
          <w:sz w:val="22"/>
        </w:rPr>
        <w:t>they</w:t>
      </w:r>
      <w:r w:rsidRPr="00BB3420">
        <w:rPr>
          <w:rFonts w:ascii="Calibri" w:hAnsi="Calibri" w:cs="Arial"/>
          <w:i/>
          <w:sz w:val="22"/>
        </w:rPr>
        <w:t xml:space="preserve"> ha</w:t>
      </w:r>
      <w:r>
        <w:rPr>
          <w:rFonts w:ascii="Calibri" w:hAnsi="Calibri" w:cs="Arial"/>
          <w:i/>
          <w:sz w:val="22"/>
        </w:rPr>
        <w:t>ve</w:t>
      </w:r>
      <w:r w:rsidRPr="00BB3420">
        <w:rPr>
          <w:rFonts w:ascii="Calibri" w:hAnsi="Calibri" w:cs="Arial"/>
          <w:i/>
          <w:sz w:val="22"/>
        </w:rPr>
        <w:t xml:space="preserve"> </w:t>
      </w:r>
      <w:r>
        <w:rPr>
          <w:rFonts w:ascii="Calibri" w:hAnsi="Calibri" w:cs="Arial"/>
          <w:i/>
          <w:sz w:val="22"/>
        </w:rPr>
        <w:t>everything they need (as above)</w:t>
      </w:r>
      <w:r w:rsidRPr="00BB3420">
        <w:rPr>
          <w:rFonts w:ascii="Calibri" w:hAnsi="Calibri" w:cs="Arial"/>
          <w:i/>
          <w:sz w:val="22"/>
        </w:rPr>
        <w:t>. The Principal Investigator should also be available on the day of the visit. It is preferable that the Principal Investigator is available for at least a proportion of each visit.</w:t>
      </w:r>
      <w:r>
        <w:rPr>
          <w:rFonts w:ascii="Calibri" w:hAnsi="Calibri" w:cs="Arial"/>
          <w:i/>
          <w:sz w:val="22"/>
        </w:rPr>
        <w:t xml:space="preserve"> Detail here what people and departments should be visited. This should include </w:t>
      </w:r>
      <w:r w:rsidRPr="00BB3420">
        <w:rPr>
          <w:rFonts w:ascii="Calibri" w:hAnsi="Calibri" w:cs="Arial"/>
          <w:i/>
          <w:sz w:val="22"/>
        </w:rPr>
        <w:t>check</w:t>
      </w:r>
      <w:r>
        <w:rPr>
          <w:rFonts w:ascii="Calibri" w:hAnsi="Calibri" w:cs="Arial"/>
          <w:i/>
          <w:sz w:val="22"/>
        </w:rPr>
        <w:t>ing</w:t>
      </w:r>
      <w:r w:rsidRPr="00BB3420">
        <w:rPr>
          <w:rFonts w:ascii="Calibri" w:hAnsi="Calibri" w:cs="Arial"/>
          <w:i/>
          <w:sz w:val="22"/>
        </w:rPr>
        <w:t xml:space="preserve"> storage of the study medication and drug accountability.</w:t>
      </w:r>
      <w:r>
        <w:rPr>
          <w:rFonts w:ascii="Calibri" w:hAnsi="Calibri" w:cs="Arial"/>
          <w:i/>
          <w:sz w:val="22"/>
        </w:rPr>
        <w:t xml:space="preserve"> For anti-malarial surveillance studies the laboratory data is </w:t>
      </w:r>
      <w:proofErr w:type="gramStart"/>
      <w:r>
        <w:rPr>
          <w:rFonts w:ascii="Calibri" w:hAnsi="Calibri" w:cs="Arial"/>
          <w:i/>
          <w:sz w:val="22"/>
        </w:rPr>
        <w:t>key</w:t>
      </w:r>
      <w:proofErr w:type="gramEnd"/>
      <w:r>
        <w:rPr>
          <w:rFonts w:ascii="Calibri" w:hAnsi="Calibri" w:cs="Arial"/>
          <w:i/>
          <w:sz w:val="22"/>
        </w:rPr>
        <w:t>, so the laboratory should be visited at appropriate intervals to observe PCR and microscopy procedures, these visits should be detailed here. A</w:t>
      </w:r>
      <w:r w:rsidRPr="00BB3420">
        <w:rPr>
          <w:rFonts w:ascii="Calibri" w:hAnsi="Calibri" w:cs="Arial"/>
          <w:i/>
          <w:sz w:val="22"/>
        </w:rPr>
        <w:t xml:space="preserve">ppropriate arrangements should be made in advance with the </w:t>
      </w:r>
      <w:r>
        <w:rPr>
          <w:rFonts w:ascii="Calibri" w:hAnsi="Calibri" w:cs="Arial"/>
          <w:i/>
          <w:sz w:val="22"/>
        </w:rPr>
        <w:t>appropriate people. If the healthcare facility where the study is being conducted does not have a system for patient notes, clinic diary, drug accountability then simply source data form should be designed and provided. For PCR and blood-slide reading quality standards procedures should be followed and compliance to these should be observed. These might be local standards or others (3). All this should be simply and concisely described here. Below is a table to guide each visit, this has been written specifically for a malaria drug surveillance study, using the WHO example protocol (2) it can however be amended as consider appropriate and pragmatic for each study following an assessment of risk and complexity of the study. For each visit the QAM should complete a visit form as attached as appendix 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A7736B" w:rsidRPr="002D7F4C" w14:paraId="4892842E" w14:textId="77777777" w:rsidTr="000B2E62">
        <w:tc>
          <w:tcPr>
            <w:tcW w:w="3190" w:type="dxa"/>
            <w:shd w:val="clear" w:color="auto" w:fill="8DB3E2"/>
          </w:tcPr>
          <w:p w14:paraId="52BD8853" w14:textId="77777777" w:rsidR="00A7736B" w:rsidRPr="002D7F4C" w:rsidRDefault="00A7736B" w:rsidP="00FC3344">
            <w:pPr>
              <w:pStyle w:val="NormalWeb"/>
              <w:jc w:val="both"/>
              <w:rPr>
                <w:rFonts w:ascii="Calibri" w:hAnsi="Calibri" w:cs="Arial"/>
                <w:b/>
                <w:sz w:val="22"/>
              </w:rPr>
            </w:pPr>
            <w:r w:rsidRPr="002D7F4C">
              <w:rPr>
                <w:rFonts w:ascii="Calibri" w:hAnsi="Calibri" w:cs="Arial"/>
                <w:b/>
                <w:sz w:val="22"/>
              </w:rPr>
              <w:t>Data point or Activity</w:t>
            </w:r>
          </w:p>
        </w:tc>
        <w:tc>
          <w:tcPr>
            <w:tcW w:w="3190" w:type="dxa"/>
            <w:shd w:val="clear" w:color="auto" w:fill="8DB3E2"/>
          </w:tcPr>
          <w:p w14:paraId="4C23B164" w14:textId="77777777" w:rsidR="00A7736B" w:rsidRPr="002D7F4C" w:rsidRDefault="00A7736B" w:rsidP="00FC3344">
            <w:pPr>
              <w:pStyle w:val="NormalWeb"/>
              <w:jc w:val="both"/>
              <w:rPr>
                <w:rFonts w:ascii="Calibri" w:hAnsi="Calibri" w:cs="Arial"/>
                <w:b/>
                <w:sz w:val="22"/>
              </w:rPr>
            </w:pPr>
            <w:r w:rsidRPr="002D7F4C">
              <w:rPr>
                <w:rFonts w:ascii="Calibri" w:hAnsi="Calibri" w:cs="Arial"/>
                <w:b/>
                <w:sz w:val="22"/>
              </w:rPr>
              <w:t>Location/Source/People</w:t>
            </w:r>
          </w:p>
        </w:tc>
        <w:tc>
          <w:tcPr>
            <w:tcW w:w="3191" w:type="dxa"/>
            <w:shd w:val="clear" w:color="auto" w:fill="8DB3E2"/>
          </w:tcPr>
          <w:p w14:paraId="10592FFC" w14:textId="77777777" w:rsidR="00A7736B" w:rsidRPr="002D7F4C" w:rsidRDefault="00A7736B" w:rsidP="00FC3344">
            <w:pPr>
              <w:pStyle w:val="NormalWeb"/>
              <w:jc w:val="both"/>
              <w:rPr>
                <w:rFonts w:ascii="Calibri" w:hAnsi="Calibri" w:cs="Arial"/>
                <w:b/>
                <w:sz w:val="22"/>
              </w:rPr>
            </w:pPr>
            <w:r w:rsidRPr="002D7F4C">
              <w:rPr>
                <w:rFonts w:ascii="Calibri" w:hAnsi="Calibri" w:cs="Arial"/>
                <w:b/>
                <w:sz w:val="22"/>
              </w:rPr>
              <w:t>100% Validation / Notes</w:t>
            </w:r>
          </w:p>
        </w:tc>
      </w:tr>
      <w:tr w:rsidR="00A7736B" w:rsidRPr="002D7F4C" w14:paraId="166FD5C5" w14:textId="77777777" w:rsidTr="000B2E62">
        <w:tc>
          <w:tcPr>
            <w:tcW w:w="3190" w:type="dxa"/>
          </w:tcPr>
          <w:p w14:paraId="37E5A3F1" w14:textId="77777777" w:rsidR="00A7736B" w:rsidRPr="006618A7" w:rsidRDefault="00A7736B" w:rsidP="00FC3344">
            <w:pPr>
              <w:pStyle w:val="NormalWeb"/>
              <w:spacing w:before="0" w:beforeAutospacing="0" w:after="0" w:afterAutospacing="0"/>
              <w:jc w:val="both"/>
              <w:rPr>
                <w:rFonts w:ascii="Calibri" w:hAnsi="Calibri" w:cs="Arial"/>
                <w:sz w:val="22"/>
              </w:rPr>
            </w:pPr>
            <w:r w:rsidRPr="006618A7">
              <w:rPr>
                <w:rFonts w:ascii="Calibri" w:hAnsi="Calibri" w:cs="Arial"/>
                <w:sz w:val="22"/>
              </w:rPr>
              <w:t>Inclusion/exclusion Criteria;</w:t>
            </w:r>
          </w:p>
          <w:p w14:paraId="7FCF161C" w14:textId="77777777" w:rsidR="00A7736B" w:rsidRPr="00CF029E" w:rsidRDefault="00A7736B" w:rsidP="00FC3344">
            <w:pPr>
              <w:pStyle w:val="NormalWeb"/>
              <w:numPr>
                <w:ilvl w:val="0"/>
                <w:numId w:val="8"/>
              </w:numPr>
              <w:spacing w:before="0" w:beforeAutospacing="0" w:after="0" w:afterAutospacing="0"/>
              <w:jc w:val="both"/>
              <w:rPr>
                <w:rFonts w:ascii="Calibri" w:hAnsi="Calibri" w:cs="Arial"/>
                <w:i/>
                <w:sz w:val="22"/>
              </w:rPr>
            </w:pPr>
            <w:r w:rsidRPr="00CF029E">
              <w:rPr>
                <w:rFonts w:ascii="Calibri" w:hAnsi="Calibri" w:cs="Arial"/>
                <w:i/>
                <w:sz w:val="22"/>
              </w:rPr>
              <w:t>From the protocol</w:t>
            </w:r>
          </w:p>
          <w:p w14:paraId="46902DE7" w14:textId="77777777" w:rsidR="00A7736B" w:rsidRPr="006618A7" w:rsidRDefault="00A7736B" w:rsidP="00FC3344">
            <w:pPr>
              <w:pStyle w:val="NormalWeb"/>
              <w:numPr>
                <w:ilvl w:val="0"/>
                <w:numId w:val="8"/>
              </w:numPr>
              <w:spacing w:before="0" w:beforeAutospacing="0" w:after="0" w:afterAutospacing="0"/>
              <w:jc w:val="both"/>
              <w:rPr>
                <w:rFonts w:ascii="Calibri" w:hAnsi="Calibri" w:cs="Arial"/>
                <w:sz w:val="22"/>
              </w:rPr>
            </w:pPr>
          </w:p>
          <w:p w14:paraId="243DC8F7" w14:textId="77777777" w:rsidR="00A7736B" w:rsidRPr="006618A7" w:rsidRDefault="00A7736B" w:rsidP="00FC3344">
            <w:pPr>
              <w:pStyle w:val="NormalWeb"/>
              <w:numPr>
                <w:ilvl w:val="0"/>
                <w:numId w:val="8"/>
              </w:numPr>
              <w:spacing w:before="0" w:beforeAutospacing="0" w:after="0" w:afterAutospacing="0"/>
              <w:jc w:val="both"/>
              <w:rPr>
                <w:rFonts w:ascii="Calibri" w:hAnsi="Calibri" w:cs="Arial"/>
                <w:sz w:val="22"/>
              </w:rPr>
            </w:pPr>
          </w:p>
          <w:p w14:paraId="71538198" w14:textId="77777777" w:rsidR="00A7736B" w:rsidRPr="006618A7" w:rsidRDefault="00A7736B" w:rsidP="00FC3344">
            <w:pPr>
              <w:pStyle w:val="NormalWeb"/>
              <w:numPr>
                <w:ilvl w:val="0"/>
                <w:numId w:val="8"/>
              </w:numPr>
              <w:spacing w:before="0" w:beforeAutospacing="0" w:after="0" w:afterAutospacing="0"/>
              <w:jc w:val="both"/>
              <w:rPr>
                <w:rFonts w:ascii="Calibri" w:hAnsi="Calibri" w:cs="Arial"/>
                <w:sz w:val="22"/>
              </w:rPr>
            </w:pPr>
            <w:r>
              <w:rPr>
                <w:rFonts w:ascii="Calibri" w:hAnsi="Calibri" w:cs="Arial"/>
                <w:sz w:val="22"/>
              </w:rPr>
              <w:t>….</w:t>
            </w:r>
          </w:p>
        </w:tc>
        <w:tc>
          <w:tcPr>
            <w:tcW w:w="3190" w:type="dxa"/>
          </w:tcPr>
          <w:p w14:paraId="2B9FAA91" w14:textId="77777777" w:rsidR="00A7736B" w:rsidRPr="006618A7" w:rsidRDefault="00A7736B" w:rsidP="00FC3344">
            <w:pPr>
              <w:pStyle w:val="NormalWeb"/>
              <w:jc w:val="both"/>
              <w:rPr>
                <w:rFonts w:ascii="Calibri" w:hAnsi="Calibri" w:cs="Arial"/>
                <w:sz w:val="22"/>
              </w:rPr>
            </w:pPr>
          </w:p>
          <w:p w14:paraId="275F4A61" w14:textId="77777777" w:rsidR="00A7736B" w:rsidRPr="006618A7" w:rsidRDefault="00A7736B" w:rsidP="00FC3344">
            <w:pPr>
              <w:pStyle w:val="NormalWeb"/>
              <w:jc w:val="both"/>
              <w:rPr>
                <w:rFonts w:ascii="Calibri" w:hAnsi="Calibri" w:cs="Arial"/>
                <w:sz w:val="22"/>
              </w:rPr>
            </w:pPr>
            <w:r w:rsidRPr="006618A7">
              <w:rPr>
                <w:rFonts w:ascii="Calibri" w:hAnsi="Calibri" w:cs="Arial"/>
                <w:sz w:val="22"/>
              </w:rPr>
              <w:t>Clinic/patients notes</w:t>
            </w:r>
          </w:p>
          <w:p w14:paraId="0DB52C94" w14:textId="77777777" w:rsidR="00A7736B" w:rsidRPr="006618A7" w:rsidRDefault="00A7736B" w:rsidP="00FC3344">
            <w:pPr>
              <w:pStyle w:val="NormalWeb"/>
              <w:jc w:val="both"/>
              <w:rPr>
                <w:rFonts w:ascii="Calibri" w:hAnsi="Calibri" w:cs="Arial"/>
                <w:sz w:val="22"/>
              </w:rPr>
            </w:pPr>
            <w:r w:rsidRPr="006618A7">
              <w:rPr>
                <w:rFonts w:ascii="Calibri" w:hAnsi="Calibri" w:cs="Arial"/>
                <w:sz w:val="22"/>
              </w:rPr>
              <w:t>Laboratory records</w:t>
            </w:r>
          </w:p>
          <w:p w14:paraId="7A7BEC39" w14:textId="77777777" w:rsidR="00A7736B" w:rsidRPr="006618A7" w:rsidRDefault="00A7736B" w:rsidP="00FC3344">
            <w:pPr>
              <w:pStyle w:val="NormalWeb"/>
              <w:jc w:val="both"/>
              <w:rPr>
                <w:rFonts w:ascii="Calibri" w:hAnsi="Calibri" w:cs="Arial"/>
                <w:sz w:val="22"/>
              </w:rPr>
            </w:pPr>
            <w:r w:rsidRPr="006618A7">
              <w:rPr>
                <w:rFonts w:ascii="Calibri" w:hAnsi="Calibri" w:cs="Arial"/>
                <w:sz w:val="22"/>
              </w:rPr>
              <w:t xml:space="preserve">Other </w:t>
            </w:r>
            <w:r w:rsidRPr="006618A7">
              <w:rPr>
                <w:rFonts w:ascii="Calibri" w:hAnsi="Calibri" w:cs="Arial"/>
                <w:i/>
                <w:sz w:val="22"/>
              </w:rPr>
              <w:t>(detail)</w:t>
            </w:r>
          </w:p>
          <w:p w14:paraId="7F224B54" w14:textId="77777777" w:rsidR="00A7736B" w:rsidRPr="006618A7" w:rsidRDefault="00A7736B" w:rsidP="00FC3344">
            <w:pPr>
              <w:pStyle w:val="NormalWeb"/>
              <w:jc w:val="both"/>
              <w:rPr>
                <w:rFonts w:ascii="Calibri" w:hAnsi="Calibri" w:cs="Arial"/>
                <w:sz w:val="22"/>
              </w:rPr>
            </w:pPr>
          </w:p>
          <w:p w14:paraId="61B0C2D6" w14:textId="77777777" w:rsidR="00A7736B" w:rsidRPr="006618A7" w:rsidRDefault="00A7736B" w:rsidP="00FC3344">
            <w:pPr>
              <w:pStyle w:val="NormalWeb"/>
              <w:jc w:val="both"/>
              <w:rPr>
                <w:rFonts w:ascii="Calibri" w:hAnsi="Calibri" w:cs="Arial"/>
                <w:sz w:val="22"/>
              </w:rPr>
            </w:pPr>
          </w:p>
        </w:tc>
        <w:tc>
          <w:tcPr>
            <w:tcW w:w="3191" w:type="dxa"/>
          </w:tcPr>
          <w:p w14:paraId="552F662E" w14:textId="77777777" w:rsidR="00A7736B" w:rsidRPr="006618A7" w:rsidRDefault="00A7736B" w:rsidP="00FC3344">
            <w:pPr>
              <w:pStyle w:val="NormalWeb"/>
              <w:jc w:val="both"/>
              <w:rPr>
                <w:rFonts w:ascii="Calibri" w:hAnsi="Calibri" w:cs="Arial"/>
                <w:sz w:val="22"/>
              </w:rPr>
            </w:pPr>
            <w:r w:rsidRPr="006618A7">
              <w:rPr>
                <w:rFonts w:ascii="Calibri" w:hAnsi="Calibri" w:cs="Arial"/>
                <w:sz w:val="22"/>
              </w:rPr>
              <w:t>100% of all participants</w:t>
            </w:r>
          </w:p>
        </w:tc>
      </w:tr>
      <w:tr w:rsidR="00A7736B" w:rsidRPr="002D7F4C" w14:paraId="2C4E8333" w14:textId="77777777" w:rsidTr="000B2E62">
        <w:tc>
          <w:tcPr>
            <w:tcW w:w="3190" w:type="dxa"/>
          </w:tcPr>
          <w:p w14:paraId="5B689EFC" w14:textId="77777777" w:rsidR="00A7736B" w:rsidRPr="006618A7" w:rsidRDefault="00A7736B" w:rsidP="00FC3344">
            <w:pPr>
              <w:pStyle w:val="NormalWeb"/>
              <w:spacing w:before="0" w:beforeAutospacing="0" w:after="0" w:afterAutospacing="0"/>
              <w:jc w:val="both"/>
              <w:rPr>
                <w:rFonts w:ascii="Calibri" w:hAnsi="Calibri" w:cs="Arial"/>
                <w:sz w:val="22"/>
              </w:rPr>
            </w:pPr>
            <w:r w:rsidRPr="006618A7">
              <w:rPr>
                <w:rFonts w:ascii="Calibri" w:hAnsi="Calibri" w:cs="Arial"/>
                <w:sz w:val="22"/>
              </w:rPr>
              <w:t>Informed consent provided</w:t>
            </w:r>
          </w:p>
        </w:tc>
        <w:tc>
          <w:tcPr>
            <w:tcW w:w="3190" w:type="dxa"/>
          </w:tcPr>
          <w:p w14:paraId="57A82122" w14:textId="77777777" w:rsidR="00A7736B" w:rsidRPr="006618A7" w:rsidRDefault="00A7736B" w:rsidP="00FC3344">
            <w:pPr>
              <w:pStyle w:val="NormalWeb"/>
              <w:spacing w:before="0" w:beforeAutospacing="0" w:after="0" w:afterAutospacing="0"/>
              <w:jc w:val="both"/>
              <w:rPr>
                <w:rFonts w:ascii="Calibri" w:hAnsi="Calibri" w:cs="Arial"/>
                <w:sz w:val="22"/>
              </w:rPr>
            </w:pPr>
            <w:r w:rsidRPr="006618A7">
              <w:rPr>
                <w:rFonts w:ascii="Calibri" w:hAnsi="Calibri" w:cs="Arial"/>
                <w:sz w:val="22"/>
              </w:rPr>
              <w:t>Signed Consent forms</w:t>
            </w:r>
          </w:p>
        </w:tc>
        <w:tc>
          <w:tcPr>
            <w:tcW w:w="3191" w:type="dxa"/>
          </w:tcPr>
          <w:p w14:paraId="680BEB4B" w14:textId="77777777" w:rsidR="00A7736B" w:rsidRPr="006618A7" w:rsidRDefault="00A7736B" w:rsidP="00FC3344">
            <w:pPr>
              <w:pStyle w:val="NormalWeb"/>
              <w:spacing w:before="0" w:beforeAutospacing="0" w:after="0" w:afterAutospacing="0"/>
              <w:jc w:val="both"/>
              <w:rPr>
                <w:rFonts w:ascii="Calibri" w:hAnsi="Calibri" w:cs="Arial"/>
                <w:sz w:val="22"/>
              </w:rPr>
            </w:pPr>
            <w:r w:rsidRPr="006618A7">
              <w:rPr>
                <w:rFonts w:ascii="Calibri" w:hAnsi="Calibri" w:cs="Arial"/>
                <w:sz w:val="22"/>
              </w:rPr>
              <w:t>100% of all participants</w:t>
            </w:r>
          </w:p>
        </w:tc>
      </w:tr>
      <w:tr w:rsidR="00A7736B" w:rsidRPr="002D7F4C" w14:paraId="57960BDE" w14:textId="77777777" w:rsidTr="000B2E62">
        <w:tc>
          <w:tcPr>
            <w:tcW w:w="3190" w:type="dxa"/>
          </w:tcPr>
          <w:p w14:paraId="5B0C0508" w14:textId="77777777" w:rsidR="00A7736B" w:rsidRPr="006618A7" w:rsidRDefault="00A7736B" w:rsidP="00FC3344">
            <w:pPr>
              <w:pStyle w:val="NormalWeb"/>
              <w:spacing w:before="0" w:beforeAutospacing="0" w:after="0" w:afterAutospacing="0"/>
              <w:jc w:val="both"/>
              <w:rPr>
                <w:rFonts w:ascii="Calibri" w:hAnsi="Calibri" w:cs="Arial"/>
                <w:sz w:val="22"/>
              </w:rPr>
            </w:pPr>
            <w:r w:rsidRPr="006618A7">
              <w:rPr>
                <w:rFonts w:ascii="Calibri" w:hAnsi="Calibri" w:cs="Arial"/>
                <w:sz w:val="22"/>
              </w:rPr>
              <w:t xml:space="preserve">Blood </w:t>
            </w:r>
            <w:r>
              <w:rPr>
                <w:rFonts w:ascii="Calibri" w:hAnsi="Calibri" w:cs="Arial"/>
                <w:sz w:val="22"/>
              </w:rPr>
              <w:t xml:space="preserve">test </w:t>
            </w:r>
            <w:r w:rsidRPr="006618A7">
              <w:rPr>
                <w:rFonts w:ascii="Calibri" w:hAnsi="Calibri" w:cs="Arial"/>
                <w:sz w:val="22"/>
              </w:rPr>
              <w:t>results</w:t>
            </w:r>
          </w:p>
          <w:p w14:paraId="7729E503" w14:textId="77777777" w:rsidR="00A7736B" w:rsidRPr="006618A7" w:rsidRDefault="00A7736B" w:rsidP="00FC3344">
            <w:pPr>
              <w:pStyle w:val="NormalWeb"/>
              <w:spacing w:before="0" w:beforeAutospacing="0" w:after="0" w:afterAutospacing="0"/>
              <w:jc w:val="both"/>
              <w:rPr>
                <w:rFonts w:ascii="Calibri" w:hAnsi="Calibri" w:cs="Arial"/>
                <w:sz w:val="22"/>
              </w:rPr>
            </w:pPr>
            <w:r w:rsidRPr="006618A7">
              <w:rPr>
                <w:rFonts w:ascii="Calibri" w:hAnsi="Calibri" w:cs="Arial"/>
                <w:sz w:val="22"/>
              </w:rPr>
              <w:t>PCR results</w:t>
            </w:r>
          </w:p>
        </w:tc>
        <w:tc>
          <w:tcPr>
            <w:tcW w:w="3190" w:type="dxa"/>
          </w:tcPr>
          <w:p w14:paraId="1D438D84" w14:textId="77777777" w:rsidR="00A7736B" w:rsidRPr="006618A7" w:rsidRDefault="00A7736B" w:rsidP="00FC3344">
            <w:pPr>
              <w:pStyle w:val="NormalWeb"/>
              <w:spacing w:before="0" w:beforeAutospacing="0" w:after="0" w:afterAutospacing="0"/>
              <w:jc w:val="both"/>
              <w:rPr>
                <w:rFonts w:ascii="Calibri" w:hAnsi="Calibri" w:cs="Arial"/>
                <w:sz w:val="22"/>
              </w:rPr>
            </w:pPr>
            <w:r w:rsidRPr="006618A7">
              <w:rPr>
                <w:rFonts w:ascii="Calibri" w:hAnsi="Calibri" w:cs="Arial"/>
                <w:sz w:val="22"/>
              </w:rPr>
              <w:t>Laboratory records</w:t>
            </w:r>
          </w:p>
        </w:tc>
        <w:tc>
          <w:tcPr>
            <w:tcW w:w="3191" w:type="dxa"/>
          </w:tcPr>
          <w:p w14:paraId="4398CA4F" w14:textId="77777777" w:rsidR="00A7736B" w:rsidRPr="006618A7" w:rsidRDefault="00A7736B" w:rsidP="00FC3344">
            <w:pPr>
              <w:pStyle w:val="NormalWeb"/>
              <w:spacing w:before="0" w:beforeAutospacing="0" w:after="0" w:afterAutospacing="0"/>
              <w:jc w:val="both"/>
              <w:rPr>
                <w:rFonts w:ascii="Calibri" w:hAnsi="Calibri" w:cs="Arial"/>
                <w:sz w:val="22"/>
              </w:rPr>
            </w:pPr>
            <w:r w:rsidRPr="006618A7">
              <w:rPr>
                <w:rFonts w:ascii="Calibri" w:hAnsi="Calibri" w:cs="Arial"/>
                <w:sz w:val="22"/>
              </w:rPr>
              <w:t>100% of first 30 participants then 25% randomly selection of following</w:t>
            </w:r>
            <w:r>
              <w:rPr>
                <w:rFonts w:ascii="Calibri" w:hAnsi="Calibri" w:cs="Arial"/>
                <w:sz w:val="22"/>
              </w:rPr>
              <w:t>?</w:t>
            </w:r>
            <w:r w:rsidRPr="000305CB">
              <w:rPr>
                <w:rFonts w:ascii="Calibri" w:hAnsi="Calibri" w:cs="Arial"/>
                <w:i/>
                <w:sz w:val="22"/>
              </w:rPr>
              <w:t xml:space="preserve"> Decide what is appropriate</w:t>
            </w:r>
          </w:p>
        </w:tc>
      </w:tr>
      <w:tr w:rsidR="00A7736B" w:rsidRPr="002D7F4C" w14:paraId="1F852A92" w14:textId="77777777" w:rsidTr="000B2E62">
        <w:tc>
          <w:tcPr>
            <w:tcW w:w="3190" w:type="dxa"/>
          </w:tcPr>
          <w:p w14:paraId="32523551" w14:textId="77777777" w:rsidR="00A7736B" w:rsidRPr="006618A7" w:rsidRDefault="00A7736B" w:rsidP="00FC3344">
            <w:pPr>
              <w:pStyle w:val="NormalWeb"/>
              <w:spacing w:before="0" w:beforeAutospacing="0" w:after="0" w:afterAutospacing="0"/>
              <w:jc w:val="both"/>
              <w:rPr>
                <w:rFonts w:ascii="Calibri" w:hAnsi="Calibri" w:cs="Arial"/>
                <w:sz w:val="22"/>
              </w:rPr>
            </w:pPr>
            <w:r w:rsidRPr="006618A7">
              <w:rPr>
                <w:rFonts w:ascii="Calibri" w:hAnsi="Calibri" w:cs="Arial"/>
                <w:sz w:val="22"/>
              </w:rPr>
              <w:t>Serious adverse events</w:t>
            </w:r>
          </w:p>
          <w:p w14:paraId="16D42CF6" w14:textId="77777777" w:rsidR="00A7736B" w:rsidRPr="006618A7" w:rsidRDefault="00A7736B" w:rsidP="00FC3344">
            <w:pPr>
              <w:pStyle w:val="NormalWeb"/>
              <w:spacing w:before="0" w:beforeAutospacing="0" w:after="0" w:afterAutospacing="0"/>
              <w:jc w:val="both"/>
              <w:rPr>
                <w:rFonts w:ascii="Calibri" w:hAnsi="Calibri" w:cs="Arial"/>
                <w:sz w:val="22"/>
              </w:rPr>
            </w:pPr>
            <w:r w:rsidRPr="006618A7">
              <w:rPr>
                <w:rFonts w:ascii="Calibri" w:hAnsi="Calibri" w:cs="Arial"/>
                <w:sz w:val="22"/>
              </w:rPr>
              <w:t>Protocol violations</w:t>
            </w:r>
          </w:p>
          <w:p w14:paraId="64CD863F" w14:textId="77777777" w:rsidR="00A7736B" w:rsidRPr="006618A7" w:rsidRDefault="00A7736B" w:rsidP="00FC3344">
            <w:pPr>
              <w:pStyle w:val="NormalWeb"/>
              <w:spacing w:before="0" w:beforeAutospacing="0" w:after="0" w:afterAutospacing="0"/>
              <w:jc w:val="both"/>
              <w:rPr>
                <w:rFonts w:ascii="Calibri" w:hAnsi="Calibri" w:cs="Arial"/>
                <w:sz w:val="22"/>
              </w:rPr>
            </w:pPr>
            <w:r w:rsidRPr="006618A7">
              <w:rPr>
                <w:rFonts w:ascii="Calibri" w:hAnsi="Calibri" w:cs="Arial"/>
                <w:sz w:val="22"/>
              </w:rPr>
              <w:t xml:space="preserve">Loss to follow up </w:t>
            </w:r>
          </w:p>
          <w:p w14:paraId="3BA41786" w14:textId="77777777" w:rsidR="00A7736B" w:rsidRPr="006618A7" w:rsidRDefault="00A7736B" w:rsidP="00FC3344">
            <w:pPr>
              <w:pStyle w:val="NormalWeb"/>
              <w:spacing w:before="0" w:beforeAutospacing="0" w:after="0" w:afterAutospacing="0"/>
              <w:jc w:val="both"/>
              <w:rPr>
                <w:rFonts w:ascii="Calibri" w:hAnsi="Calibri" w:cs="Arial"/>
                <w:sz w:val="22"/>
              </w:rPr>
            </w:pPr>
            <w:r w:rsidRPr="006618A7">
              <w:rPr>
                <w:rFonts w:ascii="Calibri" w:hAnsi="Calibri" w:cs="Arial"/>
                <w:sz w:val="22"/>
              </w:rPr>
              <w:t>Withdrawals</w:t>
            </w:r>
          </w:p>
        </w:tc>
        <w:tc>
          <w:tcPr>
            <w:tcW w:w="3190" w:type="dxa"/>
          </w:tcPr>
          <w:p w14:paraId="21273417" w14:textId="77777777" w:rsidR="00A7736B" w:rsidRPr="006618A7" w:rsidRDefault="00A7736B" w:rsidP="00FC3344">
            <w:pPr>
              <w:pStyle w:val="NormalWeb"/>
              <w:spacing w:before="0" w:beforeAutospacing="0" w:after="0" w:afterAutospacing="0"/>
              <w:jc w:val="both"/>
              <w:rPr>
                <w:rFonts w:ascii="Calibri" w:hAnsi="Calibri" w:cs="Arial"/>
                <w:sz w:val="22"/>
              </w:rPr>
            </w:pPr>
            <w:r w:rsidRPr="006618A7">
              <w:rPr>
                <w:rFonts w:ascii="Calibri" w:hAnsi="Calibri" w:cs="Arial"/>
                <w:sz w:val="22"/>
              </w:rPr>
              <w:t>Laboratory records, clinic records</w:t>
            </w:r>
          </w:p>
        </w:tc>
        <w:tc>
          <w:tcPr>
            <w:tcW w:w="3191" w:type="dxa"/>
          </w:tcPr>
          <w:p w14:paraId="780629F9" w14:textId="77777777" w:rsidR="00A7736B" w:rsidRPr="006618A7" w:rsidRDefault="00A7736B" w:rsidP="00FC3344">
            <w:pPr>
              <w:pStyle w:val="NormalWeb"/>
              <w:spacing w:before="0" w:beforeAutospacing="0" w:after="0" w:afterAutospacing="0"/>
              <w:jc w:val="both"/>
              <w:rPr>
                <w:rFonts w:ascii="Calibri" w:hAnsi="Calibri" w:cs="Arial"/>
                <w:sz w:val="22"/>
              </w:rPr>
            </w:pPr>
            <w:r w:rsidRPr="006618A7">
              <w:rPr>
                <w:rFonts w:ascii="Calibri" w:hAnsi="Calibri" w:cs="Arial"/>
                <w:sz w:val="22"/>
              </w:rPr>
              <w:t xml:space="preserve">100% validation checks. </w:t>
            </w:r>
          </w:p>
        </w:tc>
      </w:tr>
      <w:tr w:rsidR="00A7736B" w:rsidRPr="002D7F4C" w14:paraId="6C76E7AD" w14:textId="77777777" w:rsidTr="000B2E62">
        <w:tc>
          <w:tcPr>
            <w:tcW w:w="3190" w:type="dxa"/>
          </w:tcPr>
          <w:p w14:paraId="52BEF948" w14:textId="77777777" w:rsidR="00A7736B" w:rsidRPr="006618A7" w:rsidRDefault="00A7736B" w:rsidP="00FC3344">
            <w:pPr>
              <w:pStyle w:val="NormalWeb"/>
              <w:spacing w:before="0" w:beforeAutospacing="0" w:after="0" w:afterAutospacing="0"/>
              <w:jc w:val="both"/>
              <w:rPr>
                <w:rFonts w:ascii="Calibri" w:hAnsi="Calibri" w:cs="Arial"/>
                <w:sz w:val="22"/>
              </w:rPr>
            </w:pPr>
            <w:r>
              <w:rPr>
                <w:rFonts w:ascii="Calibri" w:hAnsi="Calibri" w:cs="Arial"/>
                <w:sz w:val="22"/>
              </w:rPr>
              <w:t>Intervention</w:t>
            </w:r>
            <w:r w:rsidRPr="006618A7">
              <w:rPr>
                <w:rFonts w:ascii="Calibri" w:hAnsi="Calibri" w:cs="Arial"/>
                <w:sz w:val="22"/>
              </w:rPr>
              <w:t xml:space="preserve"> administration</w:t>
            </w:r>
            <w:r>
              <w:rPr>
                <w:rFonts w:ascii="Calibri" w:hAnsi="Calibri" w:cs="Arial"/>
                <w:sz w:val="22"/>
              </w:rPr>
              <w:t xml:space="preserve"> and accountability – if applicable?</w:t>
            </w:r>
          </w:p>
        </w:tc>
        <w:tc>
          <w:tcPr>
            <w:tcW w:w="3190" w:type="dxa"/>
          </w:tcPr>
          <w:p w14:paraId="036E1B9F" w14:textId="77777777" w:rsidR="00A7736B" w:rsidRPr="006618A7" w:rsidRDefault="00A7736B" w:rsidP="00FC3344">
            <w:pPr>
              <w:pStyle w:val="NormalWeb"/>
              <w:spacing w:before="0" w:beforeAutospacing="0" w:after="0" w:afterAutospacing="0"/>
              <w:jc w:val="both"/>
              <w:rPr>
                <w:rFonts w:ascii="Calibri" w:hAnsi="Calibri" w:cs="Arial"/>
                <w:sz w:val="22"/>
              </w:rPr>
            </w:pPr>
            <w:r w:rsidRPr="006618A7">
              <w:rPr>
                <w:rFonts w:ascii="Calibri" w:hAnsi="Calibri" w:cs="Arial"/>
                <w:sz w:val="22"/>
              </w:rPr>
              <w:t>Patient notes</w:t>
            </w:r>
          </w:p>
          <w:p w14:paraId="32265BC9" w14:textId="77777777" w:rsidR="00A7736B" w:rsidRPr="006618A7" w:rsidRDefault="00A7736B" w:rsidP="00FC3344">
            <w:pPr>
              <w:pStyle w:val="NormalWeb"/>
              <w:spacing w:before="0" w:beforeAutospacing="0" w:after="0" w:afterAutospacing="0"/>
              <w:jc w:val="both"/>
              <w:rPr>
                <w:rFonts w:ascii="Calibri" w:hAnsi="Calibri" w:cs="Arial"/>
                <w:sz w:val="22"/>
              </w:rPr>
            </w:pPr>
            <w:r w:rsidRPr="006618A7">
              <w:rPr>
                <w:rFonts w:ascii="Calibri" w:hAnsi="Calibri" w:cs="Arial"/>
                <w:sz w:val="22"/>
              </w:rPr>
              <w:t>Drug accountability records</w:t>
            </w:r>
          </w:p>
        </w:tc>
        <w:tc>
          <w:tcPr>
            <w:tcW w:w="3191" w:type="dxa"/>
          </w:tcPr>
          <w:p w14:paraId="049BEA44" w14:textId="77777777" w:rsidR="00A7736B" w:rsidRPr="006618A7" w:rsidRDefault="00A7736B" w:rsidP="00FC3344">
            <w:pPr>
              <w:pStyle w:val="NormalWeb"/>
              <w:spacing w:before="0" w:beforeAutospacing="0" w:after="0" w:afterAutospacing="0"/>
              <w:jc w:val="both"/>
              <w:rPr>
                <w:rFonts w:ascii="Calibri" w:hAnsi="Calibri" w:cs="Arial"/>
                <w:sz w:val="22"/>
              </w:rPr>
            </w:pPr>
            <w:r w:rsidRPr="006618A7">
              <w:rPr>
                <w:rFonts w:ascii="Calibri" w:hAnsi="Calibri" w:cs="Arial"/>
                <w:sz w:val="22"/>
              </w:rPr>
              <w:t>100% of first 30 participants then 20% randomly selection of following</w:t>
            </w:r>
          </w:p>
        </w:tc>
      </w:tr>
      <w:tr w:rsidR="00A7736B" w:rsidRPr="002D7F4C" w14:paraId="6852B033" w14:textId="77777777" w:rsidTr="000B2E62">
        <w:tc>
          <w:tcPr>
            <w:tcW w:w="3190" w:type="dxa"/>
          </w:tcPr>
          <w:p w14:paraId="28A2C1CC" w14:textId="77777777" w:rsidR="00A7736B" w:rsidRPr="006618A7" w:rsidRDefault="00A7736B" w:rsidP="00FC3344">
            <w:pPr>
              <w:pStyle w:val="NormalWeb"/>
              <w:spacing w:before="0" w:beforeAutospacing="0" w:after="0" w:afterAutospacing="0"/>
              <w:jc w:val="both"/>
              <w:rPr>
                <w:rFonts w:ascii="Calibri" w:hAnsi="Calibri" w:cs="Arial"/>
                <w:sz w:val="22"/>
              </w:rPr>
            </w:pPr>
            <w:r w:rsidRPr="006618A7">
              <w:rPr>
                <w:rFonts w:ascii="Calibri" w:hAnsi="Calibri" w:cs="Arial"/>
                <w:sz w:val="22"/>
              </w:rPr>
              <w:t>Participant attendance</w:t>
            </w:r>
          </w:p>
          <w:p w14:paraId="06F182F5" w14:textId="77777777" w:rsidR="00A7736B" w:rsidRPr="006618A7" w:rsidRDefault="00A7736B" w:rsidP="00FC3344">
            <w:pPr>
              <w:pStyle w:val="NormalWeb"/>
              <w:spacing w:before="0" w:beforeAutospacing="0" w:after="0" w:afterAutospacing="0"/>
              <w:jc w:val="both"/>
              <w:rPr>
                <w:rFonts w:ascii="Calibri" w:hAnsi="Calibri" w:cs="Arial"/>
                <w:sz w:val="22"/>
              </w:rPr>
            </w:pPr>
          </w:p>
        </w:tc>
        <w:tc>
          <w:tcPr>
            <w:tcW w:w="3190" w:type="dxa"/>
          </w:tcPr>
          <w:p w14:paraId="7A39AE4B" w14:textId="77777777" w:rsidR="00A7736B" w:rsidRPr="006618A7" w:rsidRDefault="00A7736B" w:rsidP="00FC3344">
            <w:pPr>
              <w:pStyle w:val="NormalWeb"/>
              <w:spacing w:before="0" w:beforeAutospacing="0" w:after="0" w:afterAutospacing="0"/>
              <w:jc w:val="both"/>
              <w:rPr>
                <w:rFonts w:ascii="Calibri" w:hAnsi="Calibri" w:cs="Arial"/>
                <w:sz w:val="22"/>
              </w:rPr>
            </w:pPr>
            <w:r w:rsidRPr="006618A7">
              <w:rPr>
                <w:rFonts w:ascii="Calibri" w:hAnsi="Calibri" w:cs="Arial"/>
                <w:sz w:val="22"/>
              </w:rPr>
              <w:t>Clinic Diary/patient notes</w:t>
            </w:r>
          </w:p>
        </w:tc>
        <w:tc>
          <w:tcPr>
            <w:tcW w:w="3191" w:type="dxa"/>
          </w:tcPr>
          <w:p w14:paraId="11E0636B" w14:textId="77777777" w:rsidR="00A7736B" w:rsidRPr="006618A7" w:rsidRDefault="00A7736B" w:rsidP="00FC3344">
            <w:pPr>
              <w:pStyle w:val="NormalWeb"/>
              <w:spacing w:before="0" w:beforeAutospacing="0" w:after="0" w:afterAutospacing="0"/>
              <w:jc w:val="both"/>
              <w:rPr>
                <w:rFonts w:ascii="Calibri" w:hAnsi="Calibri" w:cs="Arial"/>
                <w:sz w:val="22"/>
              </w:rPr>
            </w:pPr>
            <w:r w:rsidRPr="006618A7">
              <w:rPr>
                <w:rFonts w:ascii="Calibri" w:hAnsi="Calibri" w:cs="Arial"/>
                <w:sz w:val="22"/>
              </w:rPr>
              <w:t>100% of first 30 participants then 20% randomly selection of following</w:t>
            </w:r>
          </w:p>
        </w:tc>
      </w:tr>
    </w:tbl>
    <w:p w14:paraId="473E746F" w14:textId="77777777" w:rsidR="00A7736B" w:rsidRPr="0038253D" w:rsidRDefault="00A7736B" w:rsidP="00FC3344">
      <w:pPr>
        <w:ind w:left="1080"/>
        <w:jc w:val="both"/>
        <w:rPr>
          <w:rFonts w:cs="Arial"/>
        </w:rPr>
      </w:pPr>
    </w:p>
    <w:p w14:paraId="4205B358" w14:textId="77777777" w:rsidR="00A7736B" w:rsidRPr="00D86302" w:rsidRDefault="00A7736B" w:rsidP="00FC3344">
      <w:pPr>
        <w:jc w:val="both"/>
        <w:rPr>
          <w:rFonts w:cs="Arial"/>
          <w:b/>
          <w:sz w:val="28"/>
          <w:szCs w:val="28"/>
        </w:rPr>
      </w:pPr>
      <w:r w:rsidRPr="00D86302">
        <w:rPr>
          <w:rFonts w:cs="Arial"/>
          <w:b/>
          <w:sz w:val="28"/>
          <w:szCs w:val="28"/>
        </w:rPr>
        <w:t>A</w:t>
      </w:r>
      <w:r>
        <w:rPr>
          <w:rFonts w:cs="Arial"/>
          <w:b/>
          <w:sz w:val="28"/>
          <w:szCs w:val="28"/>
        </w:rPr>
        <w:t>bbreviations</w:t>
      </w:r>
    </w:p>
    <w:p w14:paraId="6FBE1BD2" w14:textId="77777777" w:rsidR="00A7736B" w:rsidRPr="0038253D" w:rsidRDefault="00A7736B" w:rsidP="00FC3344">
      <w:pPr>
        <w:ind w:left="360"/>
        <w:jc w:val="both"/>
        <w:rPr>
          <w:rFonts w:cs="Arial"/>
        </w:rPr>
      </w:pPr>
    </w:p>
    <w:p w14:paraId="6B3E33DC" w14:textId="77777777" w:rsidR="00A7736B" w:rsidRDefault="00A7736B" w:rsidP="00FC3344">
      <w:pPr>
        <w:jc w:val="both"/>
        <w:rPr>
          <w:rFonts w:cs="Arial"/>
        </w:rPr>
      </w:pPr>
      <w:r w:rsidRPr="0038253D">
        <w:rPr>
          <w:rFonts w:cs="Arial"/>
        </w:rPr>
        <w:t>PI – Principal Investigator</w:t>
      </w:r>
    </w:p>
    <w:p w14:paraId="4C586067" w14:textId="77777777" w:rsidR="00A7736B" w:rsidRPr="0038253D" w:rsidRDefault="00A7736B" w:rsidP="00FC3344">
      <w:pPr>
        <w:jc w:val="both"/>
        <w:rPr>
          <w:rFonts w:cs="Arial"/>
        </w:rPr>
      </w:pPr>
      <w:r>
        <w:rPr>
          <w:rFonts w:cs="Arial"/>
        </w:rPr>
        <w:t>QAM – Quality assurance manager</w:t>
      </w:r>
    </w:p>
    <w:p w14:paraId="75773564" w14:textId="77777777" w:rsidR="00A7736B" w:rsidRPr="0038253D" w:rsidRDefault="00A7736B" w:rsidP="00FC3344">
      <w:pPr>
        <w:jc w:val="both"/>
        <w:rPr>
          <w:rFonts w:cs="Arial"/>
        </w:rPr>
      </w:pPr>
      <w:r w:rsidRPr="0038253D">
        <w:rPr>
          <w:rFonts w:cs="Arial"/>
        </w:rPr>
        <w:t xml:space="preserve">International Conference for </w:t>
      </w:r>
      <w:proofErr w:type="spellStart"/>
      <w:r w:rsidRPr="0038253D">
        <w:rPr>
          <w:rFonts w:cs="Arial"/>
        </w:rPr>
        <w:t>Harmonisation</w:t>
      </w:r>
      <w:proofErr w:type="spellEnd"/>
      <w:r w:rsidRPr="0038253D">
        <w:rPr>
          <w:rFonts w:cs="Arial"/>
        </w:rPr>
        <w:t xml:space="preserve"> – ICH</w:t>
      </w:r>
    </w:p>
    <w:p w14:paraId="794845B2" w14:textId="77777777" w:rsidR="00A7736B" w:rsidRPr="0038253D" w:rsidRDefault="00A7736B" w:rsidP="00FC3344">
      <w:pPr>
        <w:jc w:val="both"/>
        <w:rPr>
          <w:rFonts w:cs="Arial"/>
        </w:rPr>
      </w:pPr>
      <w:r w:rsidRPr="0038253D">
        <w:rPr>
          <w:rFonts w:cs="Arial"/>
        </w:rPr>
        <w:t>Good Clinical Practice - GCP</w:t>
      </w:r>
    </w:p>
    <w:p w14:paraId="64A6ADFB" w14:textId="77777777" w:rsidR="00A7736B" w:rsidRPr="0038253D" w:rsidRDefault="00A7736B" w:rsidP="00FC3344">
      <w:pPr>
        <w:jc w:val="both"/>
        <w:rPr>
          <w:rFonts w:cs="Arial"/>
        </w:rPr>
      </w:pPr>
      <w:r>
        <w:rPr>
          <w:rFonts w:cs="Arial"/>
        </w:rPr>
        <w:t xml:space="preserve">CRO – Contract Research </w:t>
      </w:r>
      <w:proofErr w:type="spellStart"/>
      <w:r>
        <w:rPr>
          <w:rFonts w:cs="Arial"/>
        </w:rPr>
        <w:t>Organisation</w:t>
      </w:r>
      <w:proofErr w:type="spellEnd"/>
    </w:p>
    <w:p w14:paraId="696D5ACF" w14:textId="77777777" w:rsidR="00A7736B" w:rsidRPr="0038253D" w:rsidRDefault="00A7736B" w:rsidP="00FC3344">
      <w:pPr>
        <w:jc w:val="both"/>
        <w:rPr>
          <w:rFonts w:cs="Arial"/>
        </w:rPr>
      </w:pPr>
      <w:r w:rsidRPr="0038253D">
        <w:rPr>
          <w:rFonts w:cs="Arial"/>
        </w:rPr>
        <w:t>Source Document Verification -SDV </w:t>
      </w:r>
    </w:p>
    <w:p w14:paraId="2341B53B" w14:textId="77777777" w:rsidR="00A7736B" w:rsidRPr="0038253D" w:rsidRDefault="00A7736B" w:rsidP="00FC3344">
      <w:pPr>
        <w:jc w:val="both"/>
        <w:rPr>
          <w:rFonts w:cs="Arial"/>
        </w:rPr>
      </w:pPr>
    </w:p>
    <w:p w14:paraId="2AD25FD8" w14:textId="77777777" w:rsidR="00A7736B" w:rsidRDefault="00A7736B" w:rsidP="00FC3344">
      <w:pPr>
        <w:jc w:val="both"/>
        <w:rPr>
          <w:rFonts w:cs="Arial"/>
          <w:szCs w:val="28"/>
        </w:rPr>
      </w:pPr>
      <w:r w:rsidRPr="00D86302">
        <w:rPr>
          <w:rFonts w:cs="Arial"/>
          <w:b/>
          <w:sz w:val="28"/>
          <w:szCs w:val="28"/>
        </w:rPr>
        <w:t>References</w:t>
      </w:r>
      <w:r w:rsidRPr="00D86302">
        <w:rPr>
          <w:rFonts w:cs="Arial"/>
          <w:b/>
          <w:sz w:val="28"/>
          <w:szCs w:val="28"/>
        </w:rPr>
        <w:br/>
      </w:r>
    </w:p>
    <w:p w14:paraId="63B398EA" w14:textId="77777777" w:rsidR="00A7736B" w:rsidRDefault="00CC327A" w:rsidP="00FC3344">
      <w:pPr>
        <w:numPr>
          <w:ilvl w:val="0"/>
          <w:numId w:val="6"/>
        </w:numPr>
        <w:jc w:val="both"/>
        <w:rPr>
          <w:rFonts w:cs="Arial"/>
        </w:rPr>
      </w:pPr>
      <w:hyperlink r:id="rId8" w:history="1">
        <w:r w:rsidR="00A7736B" w:rsidRPr="00D14C86">
          <w:rPr>
            <w:rStyle w:val="Hyperlink"/>
            <w:rFonts w:cs="Arial"/>
          </w:rPr>
          <w:t>http://whqlibdoc.who.int/publications/2009/9789241597531_eng.pdf</w:t>
        </w:r>
      </w:hyperlink>
    </w:p>
    <w:p w14:paraId="7BFE32BA" w14:textId="77777777" w:rsidR="00A7736B" w:rsidRDefault="00CC327A" w:rsidP="00FC3344">
      <w:pPr>
        <w:numPr>
          <w:ilvl w:val="0"/>
          <w:numId w:val="6"/>
        </w:numPr>
        <w:jc w:val="both"/>
        <w:rPr>
          <w:rFonts w:cs="Arial"/>
        </w:rPr>
      </w:pPr>
      <w:hyperlink r:id="rId9" w:history="1">
        <w:r w:rsidR="00A7736B" w:rsidRPr="00D14C86">
          <w:rPr>
            <w:rStyle w:val="Hyperlink"/>
            <w:rFonts w:cs="Arial"/>
          </w:rPr>
          <w:t>http://www.ich.org/LOB/media/MEDIA482.pdf</w:t>
        </w:r>
      </w:hyperlink>
    </w:p>
    <w:p w14:paraId="61ED1516" w14:textId="77777777" w:rsidR="00A7736B" w:rsidRPr="00A10A50" w:rsidRDefault="00A7736B" w:rsidP="00FC3344">
      <w:pPr>
        <w:ind w:left="720"/>
        <w:jc w:val="both"/>
        <w:rPr>
          <w:rFonts w:cs="Arial"/>
        </w:rPr>
      </w:pPr>
    </w:p>
    <w:p w14:paraId="5F4ECF39" w14:textId="77777777" w:rsidR="00A7736B" w:rsidRDefault="00A7736B" w:rsidP="00FC3344">
      <w:pPr>
        <w:jc w:val="both"/>
        <w:rPr>
          <w:rFonts w:cs="Arial"/>
        </w:rPr>
      </w:pPr>
    </w:p>
    <w:p w14:paraId="6D709C90" w14:textId="77777777" w:rsidR="00A7736B" w:rsidRDefault="00A7736B" w:rsidP="00FC3344">
      <w:pPr>
        <w:jc w:val="both"/>
        <w:rPr>
          <w:rFonts w:cs="Arial"/>
        </w:rPr>
      </w:pPr>
    </w:p>
    <w:p w14:paraId="14333EDF" w14:textId="77777777" w:rsidR="00A7736B" w:rsidRDefault="00A7736B" w:rsidP="00FC3344">
      <w:pPr>
        <w:jc w:val="both"/>
        <w:rPr>
          <w:rFonts w:cs="Arial"/>
        </w:rPr>
      </w:pPr>
    </w:p>
    <w:p w14:paraId="0CFF9C8C" w14:textId="77777777" w:rsidR="00A7736B" w:rsidRDefault="00A7736B" w:rsidP="00FC3344">
      <w:pPr>
        <w:jc w:val="both"/>
        <w:rPr>
          <w:rFonts w:cs="Arial"/>
        </w:rPr>
      </w:pPr>
    </w:p>
    <w:p w14:paraId="45256ECA" w14:textId="77777777" w:rsidR="00A7736B" w:rsidRDefault="00A7736B" w:rsidP="00FC3344">
      <w:pPr>
        <w:jc w:val="both"/>
        <w:rPr>
          <w:rFonts w:cs="Arial"/>
          <w:b/>
          <w:sz w:val="28"/>
          <w:szCs w:val="28"/>
        </w:rPr>
      </w:pPr>
    </w:p>
    <w:p w14:paraId="4818239C" w14:textId="77777777" w:rsidR="00A7736B" w:rsidRDefault="00A7736B" w:rsidP="00FC3344">
      <w:pPr>
        <w:jc w:val="both"/>
        <w:rPr>
          <w:rFonts w:cs="Arial"/>
          <w:b/>
          <w:sz w:val="28"/>
          <w:szCs w:val="28"/>
        </w:rPr>
      </w:pPr>
    </w:p>
    <w:p w14:paraId="611AE48C" w14:textId="77777777" w:rsidR="00A7736B" w:rsidRDefault="00A7736B" w:rsidP="00FC3344">
      <w:pPr>
        <w:jc w:val="both"/>
        <w:rPr>
          <w:rFonts w:cs="Arial"/>
          <w:b/>
          <w:sz w:val="28"/>
          <w:szCs w:val="28"/>
        </w:rPr>
      </w:pPr>
    </w:p>
    <w:p w14:paraId="5FBEB6A2" w14:textId="77777777" w:rsidR="00A7736B" w:rsidRDefault="00A7736B" w:rsidP="00FC3344">
      <w:pPr>
        <w:jc w:val="both"/>
        <w:rPr>
          <w:rFonts w:cs="Arial"/>
          <w:b/>
          <w:sz w:val="28"/>
          <w:szCs w:val="28"/>
        </w:rPr>
      </w:pPr>
    </w:p>
    <w:p w14:paraId="327154A5" w14:textId="77777777" w:rsidR="00A7736B" w:rsidRDefault="00A7736B" w:rsidP="00FC3344">
      <w:pPr>
        <w:jc w:val="both"/>
        <w:rPr>
          <w:rFonts w:cs="Arial"/>
          <w:b/>
          <w:sz w:val="28"/>
          <w:szCs w:val="28"/>
        </w:rPr>
      </w:pPr>
    </w:p>
    <w:sectPr w:rsidR="00A7736B" w:rsidSect="009F52C6">
      <w:headerReference w:type="default" r:id="rId10"/>
      <w:footerReference w:type="default" r:id="rId11"/>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0592E" w14:textId="77777777" w:rsidR="00CC327A" w:rsidRDefault="00CC327A" w:rsidP="00E97539">
      <w:r>
        <w:separator/>
      </w:r>
    </w:p>
  </w:endnote>
  <w:endnote w:type="continuationSeparator" w:id="0">
    <w:p w14:paraId="4559989A" w14:textId="77777777" w:rsidR="00CC327A" w:rsidRDefault="00CC327A" w:rsidP="00E9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F859" w14:textId="77777777" w:rsidR="00A7736B" w:rsidRPr="004164F8" w:rsidRDefault="00A7736B" w:rsidP="00A7736B">
    <w:pPr>
      <w:pStyle w:val="Footer"/>
      <w:jc w:val="both"/>
      <w:rPr>
        <w:sz w:val="16"/>
        <w:szCs w:val="16"/>
      </w:rPr>
    </w:pPr>
    <w:r>
      <w:rPr>
        <w:noProof/>
        <w:lang w:val="en-GB" w:eastAsia="en-GB"/>
      </w:rPr>
      <w:drawing>
        <wp:anchor distT="0" distB="0" distL="114300" distR="114300" simplePos="0" relativeHeight="251661312" behindDoc="1" locked="0" layoutInCell="1" allowOverlap="1" wp14:anchorId="61D63DC1" wp14:editId="730C03A1">
          <wp:simplePos x="0" y="0"/>
          <wp:positionH relativeFrom="margin">
            <wp:align>left</wp:align>
          </wp:positionH>
          <wp:positionV relativeFrom="paragraph">
            <wp:posOffset>-226060</wp:posOffset>
          </wp:positionV>
          <wp:extent cx="704850" cy="473710"/>
          <wp:effectExtent l="0" t="0" r="0" b="2540"/>
          <wp:wrapTight wrapText="bothSides">
            <wp:wrapPolygon edited="0">
              <wp:start x="0" y="0"/>
              <wp:lineTo x="0" y="20847"/>
              <wp:lineTo x="21016" y="20847"/>
              <wp:lineTo x="21016" y="0"/>
              <wp:lineTo x="0" y="0"/>
            </wp:wrapPolygon>
          </wp:wrapTight>
          <wp:docPr id="1" name="Picture 1" descr="https://globalhealthtrainingcentre.tghn.org/site_media/media/medialibrary/2017/04/eu-logo-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obalhealthtrainingcentre.tghn.org/site_media/media/medialibrary/2017/04/eu-logo-news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4F8">
      <w:rPr>
        <w:rStyle w:val="Emphasis"/>
        <w:rFonts w:ascii="Verdana" w:hAnsi="Verdana"/>
        <w:color w:val="000000"/>
        <w:sz w:val="16"/>
        <w:szCs w:val="16"/>
        <w:shd w:val="clear" w:color="auto" w:fill="FFFFFF"/>
      </w:rPr>
      <w:t xml:space="preserve">This Project has received funding from the European Union’s Horizon 2020 research and innovation </w:t>
    </w:r>
    <w:proofErr w:type="spellStart"/>
    <w:r w:rsidRPr="004164F8">
      <w:rPr>
        <w:rStyle w:val="Emphasis"/>
        <w:rFonts w:ascii="Verdana" w:hAnsi="Verdana"/>
        <w:color w:val="000000"/>
        <w:sz w:val="16"/>
        <w:szCs w:val="16"/>
        <w:shd w:val="clear" w:color="auto" w:fill="FFFFFF"/>
      </w:rPr>
      <w:t>programme</w:t>
    </w:r>
    <w:proofErr w:type="spellEnd"/>
    <w:r w:rsidRPr="004164F8">
      <w:rPr>
        <w:rStyle w:val="Emphasis"/>
        <w:rFonts w:ascii="Verdana" w:hAnsi="Verdana"/>
        <w:color w:val="000000"/>
        <w:sz w:val="16"/>
        <w:szCs w:val="16"/>
        <w:shd w:val="clear" w:color="auto" w:fill="FFFFFF"/>
      </w:rPr>
      <w:t xml:space="preserve"> under grant agreement No 734584.</w:t>
    </w:r>
  </w:p>
  <w:p w14:paraId="7652E897" w14:textId="29513069" w:rsidR="00A7736B" w:rsidRPr="00A7736B" w:rsidRDefault="00A7736B" w:rsidP="00A77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F2281" w14:textId="77777777" w:rsidR="00CC327A" w:rsidRDefault="00CC327A" w:rsidP="00E97539">
      <w:r>
        <w:separator/>
      </w:r>
    </w:p>
  </w:footnote>
  <w:footnote w:type="continuationSeparator" w:id="0">
    <w:p w14:paraId="49E1A613" w14:textId="77777777" w:rsidR="00CC327A" w:rsidRDefault="00CC327A" w:rsidP="00E97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07281" w14:textId="0DB523A3" w:rsidR="00E97539" w:rsidRDefault="00A7736B">
    <w:pPr>
      <w:pStyle w:val="Header"/>
    </w:pPr>
    <w:r>
      <w:rPr>
        <w:rFonts w:eastAsia="Times New Roman" w:cs="Times New Roman"/>
        <w:b/>
        <w:noProof/>
        <w:color w:val="2E74B5" w:themeColor="accent1" w:themeShade="BF"/>
        <w:sz w:val="28"/>
        <w:szCs w:val="28"/>
        <w:lang w:val="en-GB" w:eastAsia="en-GB"/>
      </w:rPr>
      <mc:AlternateContent>
        <mc:Choice Requires="wps">
          <w:drawing>
            <wp:anchor distT="0" distB="0" distL="114300" distR="114300" simplePos="0" relativeHeight="251663360" behindDoc="0" locked="0" layoutInCell="1" allowOverlap="1" wp14:anchorId="7924D584" wp14:editId="3E460C82">
              <wp:simplePos x="0" y="0"/>
              <wp:positionH relativeFrom="column">
                <wp:posOffset>-291465</wp:posOffset>
              </wp:positionH>
              <wp:positionV relativeFrom="paragraph">
                <wp:posOffset>802549</wp:posOffset>
              </wp:positionV>
              <wp:extent cx="6087110" cy="227874"/>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6087110" cy="22787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AAE9E1" w14:textId="77777777" w:rsidR="00A7736B" w:rsidRPr="00A7736B" w:rsidRDefault="00A7736B" w:rsidP="00A7736B">
                          <w:pPr>
                            <w:pStyle w:val="Header"/>
                            <w:jc w:val="center"/>
                            <w:rPr>
                              <w:b/>
                              <w:color w:val="FF0000"/>
                              <w:sz w:val="22"/>
                              <w:szCs w:val="22"/>
                            </w:rPr>
                          </w:pPr>
                          <w:r w:rsidRPr="00A7736B">
                            <w:rPr>
                              <w:b/>
                              <w:color w:val="FF0000"/>
                              <w:sz w:val="22"/>
                              <w:szCs w:val="22"/>
                            </w:rPr>
                            <w:t xml:space="preserve">Please acknowledge any guidance and templates provided by </w:t>
                          </w:r>
                          <w:proofErr w:type="spellStart"/>
                          <w:r w:rsidRPr="00A7736B">
                            <w:rPr>
                              <w:b/>
                              <w:color w:val="FF0000"/>
                              <w:sz w:val="22"/>
                              <w:szCs w:val="22"/>
                            </w:rPr>
                            <w:t>REDe</w:t>
                          </w:r>
                          <w:proofErr w:type="spellEnd"/>
                          <w:r w:rsidRPr="00A7736B">
                            <w:rPr>
                              <w:b/>
                              <w:color w:val="FF0000"/>
                              <w:sz w:val="22"/>
                              <w:szCs w:val="22"/>
                            </w:rPr>
                            <w:t xml:space="preserve"> in your protocols and publications</w:t>
                          </w:r>
                        </w:p>
                        <w:p w14:paraId="6EDEA164" w14:textId="77777777" w:rsidR="00A7736B" w:rsidRDefault="00A7736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7924D584" id="_x0000_t202" coordsize="21600,21600" o:spt="202" path="m0,0l0,21600,21600,21600,21600,0xe">
              <v:stroke joinstyle="miter"/>
              <v:path gradientshapeok="t" o:connecttype="rect"/>
            </v:shapetype>
            <v:shape id="Text Box 4" o:spid="_x0000_s1026" type="#_x0000_t202" style="position:absolute;margin-left:-22.95pt;margin-top:63.2pt;width:479.3pt;height:17.9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" filled="f" stroked="f">
              <v:textbox>
                <w:txbxContent>
                  <w:p w14:paraId="21AAE9E1" w14:textId="77777777" w:rsidR="00A7736B" w:rsidRPr="00A7736B" w:rsidRDefault="00A7736B" w:rsidP="00A7736B">
                    <w:pPr>
                      <w:pStyle w:val="Header"/>
                      <w:jc w:val="center"/>
                      <w:rPr>
                        <w:b/>
                        <w:color w:val="FF0000"/>
                        <w:sz w:val="22"/>
                        <w:szCs w:val="22"/>
                      </w:rPr>
                    </w:pPr>
                    <w:r w:rsidRPr="00A7736B">
                      <w:rPr>
                        <w:b/>
                        <w:color w:val="FF0000"/>
                        <w:sz w:val="22"/>
                        <w:szCs w:val="22"/>
                      </w:rPr>
                      <w:t>Please acknowledge any guidance and templates provided by REDe in your protocols and publications</w:t>
                    </w:r>
                  </w:p>
                  <w:p w14:paraId="6EDEA164" w14:textId="77777777" w:rsidR="00A7736B" w:rsidRDefault="00A7736B"/>
                </w:txbxContent>
              </v:textbox>
            </v:shape>
          </w:pict>
        </mc:Fallback>
      </mc:AlternateContent>
    </w:r>
    <w:r w:rsidRPr="00314510">
      <w:rPr>
        <w:rFonts w:eastAsia="Times New Roman" w:cs="Times New Roman"/>
        <w:b/>
        <w:noProof/>
        <w:color w:val="2E74B5" w:themeColor="accent1" w:themeShade="BF"/>
        <w:sz w:val="28"/>
        <w:szCs w:val="28"/>
        <w:lang w:val="en-GB" w:eastAsia="en-GB"/>
      </w:rPr>
      <w:drawing>
        <wp:anchor distT="0" distB="0" distL="114300" distR="114300" simplePos="0" relativeHeight="251662336" behindDoc="0" locked="0" layoutInCell="1" allowOverlap="1" wp14:anchorId="7F6C6E9D" wp14:editId="6596BE3D">
          <wp:simplePos x="0" y="0"/>
          <wp:positionH relativeFrom="column">
            <wp:posOffset>3518535</wp:posOffset>
          </wp:positionH>
          <wp:positionV relativeFrom="paragraph">
            <wp:posOffset>-226060</wp:posOffset>
          </wp:positionV>
          <wp:extent cx="2237740" cy="1085215"/>
          <wp:effectExtent l="0" t="0" r="0" b="6985"/>
          <wp:wrapThrough wrapText="bothSides">
            <wp:wrapPolygon edited="0">
              <wp:start x="0" y="0"/>
              <wp:lineTo x="0" y="21233"/>
              <wp:lineTo x="21330" y="21233"/>
              <wp:lineTo x="21330" y="0"/>
              <wp:lineTo x="0" y="0"/>
            </wp:wrapPolygon>
          </wp:wrapThrough>
          <wp:docPr id="2" name="Picture 2" descr="T:\Logo\New Logo\TGHN logo\TGHN logo digital_letterhead_small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New Logo\TGHN logo\TGHN logo digital_letterhead_small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539" w:rsidRPr="00692D9B">
      <w:rPr>
        <w:noProof/>
        <w:lang w:val="en-GB" w:eastAsia="en-GB"/>
      </w:rPr>
      <w:drawing>
        <wp:anchor distT="0" distB="0" distL="114300" distR="114300" simplePos="0" relativeHeight="251659264" behindDoc="0" locked="0" layoutInCell="1" allowOverlap="1" wp14:anchorId="3F6ADFFE" wp14:editId="60D1D10F">
          <wp:simplePos x="0" y="0"/>
          <wp:positionH relativeFrom="column">
            <wp:posOffset>-670560</wp:posOffset>
          </wp:positionH>
          <wp:positionV relativeFrom="paragraph">
            <wp:posOffset>-340995</wp:posOffset>
          </wp:positionV>
          <wp:extent cx="8401050" cy="1434465"/>
          <wp:effectExtent l="0" t="0" r="6350" b="0"/>
          <wp:wrapTight wrapText="bothSides">
            <wp:wrapPolygon edited="0">
              <wp:start x="0" y="0"/>
              <wp:lineTo x="0" y="21036"/>
              <wp:lineTo x="21551" y="21036"/>
              <wp:lineTo x="21551" y="0"/>
              <wp:lineTo x="0" y="0"/>
            </wp:wrapPolygon>
          </wp:wrapTight>
          <wp:docPr id="3" name="Picture 3" descr="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0" cy="1434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1F9"/>
    <w:multiLevelType w:val="hybridMultilevel"/>
    <w:tmpl w:val="9E4EC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C3D51"/>
    <w:multiLevelType w:val="hybridMultilevel"/>
    <w:tmpl w:val="78445AA4"/>
    <w:lvl w:ilvl="0" w:tplc="E1262E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684F69"/>
    <w:multiLevelType w:val="hybridMultilevel"/>
    <w:tmpl w:val="90B03E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641E3"/>
    <w:multiLevelType w:val="hybridMultilevel"/>
    <w:tmpl w:val="F6886C70"/>
    <w:lvl w:ilvl="0" w:tplc="6F0EF4E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C67D1"/>
    <w:multiLevelType w:val="hybridMultilevel"/>
    <w:tmpl w:val="AF10671C"/>
    <w:lvl w:ilvl="0" w:tplc="5F20CA4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E11AE"/>
    <w:multiLevelType w:val="hybridMultilevel"/>
    <w:tmpl w:val="BF220C40"/>
    <w:lvl w:ilvl="0" w:tplc="3014FF1E">
      <w:start w:val="1"/>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2439630B"/>
    <w:multiLevelType w:val="hybridMultilevel"/>
    <w:tmpl w:val="D944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51F29"/>
    <w:multiLevelType w:val="hybridMultilevel"/>
    <w:tmpl w:val="2CC271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65A96"/>
    <w:multiLevelType w:val="hybridMultilevel"/>
    <w:tmpl w:val="A1F4B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26D93"/>
    <w:multiLevelType w:val="hybridMultilevel"/>
    <w:tmpl w:val="75A8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97261"/>
    <w:multiLevelType w:val="hybridMultilevel"/>
    <w:tmpl w:val="9D1E1B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F2237B"/>
    <w:multiLevelType w:val="hybridMultilevel"/>
    <w:tmpl w:val="A9CA30A2"/>
    <w:lvl w:ilvl="0" w:tplc="5F20CA4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07D67"/>
    <w:multiLevelType w:val="hybridMultilevel"/>
    <w:tmpl w:val="480ECE5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605077"/>
    <w:multiLevelType w:val="hybridMultilevel"/>
    <w:tmpl w:val="0E309190"/>
    <w:lvl w:ilvl="0" w:tplc="2F1808D4">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A958C5"/>
    <w:multiLevelType w:val="hybridMultilevel"/>
    <w:tmpl w:val="84485D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9658B9"/>
    <w:multiLevelType w:val="hybridMultilevel"/>
    <w:tmpl w:val="A27CE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A02356"/>
    <w:multiLevelType w:val="hybridMultilevel"/>
    <w:tmpl w:val="8A4E65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10572E"/>
    <w:multiLevelType w:val="hybridMultilevel"/>
    <w:tmpl w:val="84485D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CC325A"/>
    <w:multiLevelType w:val="hybridMultilevel"/>
    <w:tmpl w:val="94F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565A31"/>
    <w:multiLevelType w:val="hybridMultilevel"/>
    <w:tmpl w:val="7784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A2018B"/>
    <w:multiLevelType w:val="hybridMultilevel"/>
    <w:tmpl w:val="EBE8E7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
  </w:num>
  <w:num w:numId="4">
    <w:abstractNumId w:val="4"/>
  </w:num>
  <w:num w:numId="5">
    <w:abstractNumId w:val="11"/>
  </w:num>
  <w:num w:numId="6">
    <w:abstractNumId w:val="9"/>
  </w:num>
  <w:num w:numId="7">
    <w:abstractNumId w:val="15"/>
  </w:num>
  <w:num w:numId="8">
    <w:abstractNumId w:val="5"/>
  </w:num>
  <w:num w:numId="9">
    <w:abstractNumId w:val="12"/>
  </w:num>
  <w:num w:numId="10">
    <w:abstractNumId w:val="7"/>
  </w:num>
  <w:num w:numId="11">
    <w:abstractNumId w:val="10"/>
  </w:num>
  <w:num w:numId="12">
    <w:abstractNumId w:val="20"/>
  </w:num>
  <w:num w:numId="13">
    <w:abstractNumId w:val="14"/>
  </w:num>
  <w:num w:numId="14">
    <w:abstractNumId w:val="2"/>
  </w:num>
  <w:num w:numId="15">
    <w:abstractNumId w:val="1"/>
  </w:num>
  <w:num w:numId="16">
    <w:abstractNumId w:val="17"/>
  </w:num>
  <w:num w:numId="17">
    <w:abstractNumId w:val="13"/>
  </w:num>
  <w:num w:numId="18">
    <w:abstractNumId w:val="16"/>
  </w:num>
  <w:num w:numId="19">
    <w:abstractNumId w:val="8"/>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39"/>
    <w:rsid w:val="00083CC2"/>
    <w:rsid w:val="000F18F5"/>
    <w:rsid w:val="00132C23"/>
    <w:rsid w:val="001A3AAE"/>
    <w:rsid w:val="001E10BF"/>
    <w:rsid w:val="00252E53"/>
    <w:rsid w:val="002936A3"/>
    <w:rsid w:val="002B356C"/>
    <w:rsid w:val="002E02CE"/>
    <w:rsid w:val="003C76D2"/>
    <w:rsid w:val="00451082"/>
    <w:rsid w:val="00460C7D"/>
    <w:rsid w:val="00471530"/>
    <w:rsid w:val="004C7B2B"/>
    <w:rsid w:val="00547EA5"/>
    <w:rsid w:val="005703C1"/>
    <w:rsid w:val="005E34F9"/>
    <w:rsid w:val="006E764D"/>
    <w:rsid w:val="00724A00"/>
    <w:rsid w:val="00782E64"/>
    <w:rsid w:val="007E0EBB"/>
    <w:rsid w:val="00994804"/>
    <w:rsid w:val="0099691E"/>
    <w:rsid w:val="009F52C6"/>
    <w:rsid w:val="00A71EC7"/>
    <w:rsid w:val="00A7736B"/>
    <w:rsid w:val="00AD21A4"/>
    <w:rsid w:val="00C13EC8"/>
    <w:rsid w:val="00C345E8"/>
    <w:rsid w:val="00CC327A"/>
    <w:rsid w:val="00D3469D"/>
    <w:rsid w:val="00DA6139"/>
    <w:rsid w:val="00DC38E2"/>
    <w:rsid w:val="00E62B23"/>
    <w:rsid w:val="00E97539"/>
    <w:rsid w:val="00EA08C2"/>
    <w:rsid w:val="00EB6F58"/>
    <w:rsid w:val="00EC1226"/>
    <w:rsid w:val="00F759D4"/>
    <w:rsid w:val="00FC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EF14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539"/>
    <w:pPr>
      <w:tabs>
        <w:tab w:val="center" w:pos="4513"/>
        <w:tab w:val="right" w:pos="9026"/>
      </w:tabs>
    </w:pPr>
  </w:style>
  <w:style w:type="character" w:customStyle="1" w:styleId="HeaderChar">
    <w:name w:val="Header Char"/>
    <w:basedOn w:val="DefaultParagraphFont"/>
    <w:link w:val="Header"/>
    <w:uiPriority w:val="99"/>
    <w:rsid w:val="00E97539"/>
  </w:style>
  <w:style w:type="paragraph" w:styleId="Footer">
    <w:name w:val="footer"/>
    <w:basedOn w:val="Normal"/>
    <w:link w:val="FooterChar"/>
    <w:uiPriority w:val="99"/>
    <w:unhideWhenUsed/>
    <w:rsid w:val="00E97539"/>
    <w:pPr>
      <w:tabs>
        <w:tab w:val="center" w:pos="4513"/>
        <w:tab w:val="right" w:pos="9026"/>
      </w:tabs>
    </w:pPr>
  </w:style>
  <w:style w:type="character" w:customStyle="1" w:styleId="FooterChar">
    <w:name w:val="Footer Char"/>
    <w:basedOn w:val="DefaultParagraphFont"/>
    <w:link w:val="Footer"/>
    <w:uiPriority w:val="99"/>
    <w:rsid w:val="00E97539"/>
  </w:style>
  <w:style w:type="paragraph" w:styleId="ListParagraph">
    <w:name w:val="List Paragraph"/>
    <w:basedOn w:val="Normal"/>
    <w:uiPriority w:val="34"/>
    <w:qFormat/>
    <w:rsid w:val="004C7B2B"/>
    <w:pPr>
      <w:ind w:left="720"/>
      <w:contextualSpacing/>
    </w:pPr>
  </w:style>
  <w:style w:type="table" w:styleId="TableGrid">
    <w:name w:val="Table Grid"/>
    <w:basedOn w:val="TableNormal"/>
    <w:uiPriority w:val="39"/>
    <w:rsid w:val="009F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7736B"/>
    <w:rPr>
      <w:i/>
      <w:iCs/>
    </w:rPr>
  </w:style>
  <w:style w:type="paragraph" w:styleId="NormalWeb">
    <w:name w:val="Normal (Web)"/>
    <w:basedOn w:val="Normal"/>
    <w:uiPriority w:val="99"/>
    <w:rsid w:val="00A7736B"/>
    <w:pPr>
      <w:spacing w:before="100" w:beforeAutospacing="1" w:after="100" w:afterAutospacing="1"/>
    </w:pPr>
    <w:rPr>
      <w:rFonts w:ascii="Times New Roman" w:eastAsia="Times New Roman" w:hAnsi="Times New Roman" w:cs="Times New Roman"/>
    </w:rPr>
  </w:style>
  <w:style w:type="paragraph" w:customStyle="1" w:styleId="Default">
    <w:name w:val="Default"/>
    <w:rsid w:val="00A7736B"/>
    <w:pPr>
      <w:autoSpaceDE w:val="0"/>
      <w:autoSpaceDN w:val="0"/>
      <w:adjustRightInd w:val="0"/>
    </w:pPr>
    <w:rPr>
      <w:rFonts w:ascii="HelveticaNeueLT Std Cn" w:eastAsia="Times New Roman" w:hAnsi="HelveticaNeueLT Std Cn" w:cs="HelveticaNeueLT Std Cn"/>
      <w:color w:val="000000"/>
    </w:rPr>
  </w:style>
  <w:style w:type="character" w:styleId="Hyperlink">
    <w:name w:val="Hyperlink"/>
    <w:basedOn w:val="DefaultParagraphFont"/>
    <w:rsid w:val="00A773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539"/>
    <w:pPr>
      <w:tabs>
        <w:tab w:val="center" w:pos="4513"/>
        <w:tab w:val="right" w:pos="9026"/>
      </w:tabs>
    </w:pPr>
  </w:style>
  <w:style w:type="character" w:customStyle="1" w:styleId="HeaderChar">
    <w:name w:val="Header Char"/>
    <w:basedOn w:val="DefaultParagraphFont"/>
    <w:link w:val="Header"/>
    <w:uiPriority w:val="99"/>
    <w:rsid w:val="00E97539"/>
  </w:style>
  <w:style w:type="paragraph" w:styleId="Footer">
    <w:name w:val="footer"/>
    <w:basedOn w:val="Normal"/>
    <w:link w:val="FooterChar"/>
    <w:uiPriority w:val="99"/>
    <w:unhideWhenUsed/>
    <w:rsid w:val="00E97539"/>
    <w:pPr>
      <w:tabs>
        <w:tab w:val="center" w:pos="4513"/>
        <w:tab w:val="right" w:pos="9026"/>
      </w:tabs>
    </w:pPr>
  </w:style>
  <w:style w:type="character" w:customStyle="1" w:styleId="FooterChar">
    <w:name w:val="Footer Char"/>
    <w:basedOn w:val="DefaultParagraphFont"/>
    <w:link w:val="Footer"/>
    <w:uiPriority w:val="99"/>
    <w:rsid w:val="00E97539"/>
  </w:style>
  <w:style w:type="paragraph" w:styleId="ListParagraph">
    <w:name w:val="List Paragraph"/>
    <w:basedOn w:val="Normal"/>
    <w:uiPriority w:val="34"/>
    <w:qFormat/>
    <w:rsid w:val="004C7B2B"/>
    <w:pPr>
      <w:ind w:left="720"/>
      <w:contextualSpacing/>
    </w:pPr>
  </w:style>
  <w:style w:type="table" w:styleId="TableGrid">
    <w:name w:val="Table Grid"/>
    <w:basedOn w:val="TableNormal"/>
    <w:uiPriority w:val="39"/>
    <w:rsid w:val="009F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7736B"/>
    <w:rPr>
      <w:i/>
      <w:iCs/>
    </w:rPr>
  </w:style>
  <w:style w:type="paragraph" w:styleId="NormalWeb">
    <w:name w:val="Normal (Web)"/>
    <w:basedOn w:val="Normal"/>
    <w:uiPriority w:val="99"/>
    <w:rsid w:val="00A7736B"/>
    <w:pPr>
      <w:spacing w:before="100" w:beforeAutospacing="1" w:after="100" w:afterAutospacing="1"/>
    </w:pPr>
    <w:rPr>
      <w:rFonts w:ascii="Times New Roman" w:eastAsia="Times New Roman" w:hAnsi="Times New Roman" w:cs="Times New Roman"/>
    </w:rPr>
  </w:style>
  <w:style w:type="paragraph" w:customStyle="1" w:styleId="Default">
    <w:name w:val="Default"/>
    <w:rsid w:val="00A7736B"/>
    <w:pPr>
      <w:autoSpaceDE w:val="0"/>
      <w:autoSpaceDN w:val="0"/>
      <w:adjustRightInd w:val="0"/>
    </w:pPr>
    <w:rPr>
      <w:rFonts w:ascii="HelveticaNeueLT Std Cn" w:eastAsia="Times New Roman" w:hAnsi="HelveticaNeueLT Std Cn" w:cs="HelveticaNeueLT Std Cn"/>
      <w:color w:val="000000"/>
    </w:rPr>
  </w:style>
  <w:style w:type="character" w:styleId="Hyperlink">
    <w:name w:val="Hyperlink"/>
    <w:basedOn w:val="DefaultParagraphFont"/>
    <w:rsid w:val="00A77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hqlibdoc.who.int/publications/2009/9789241597531_eng.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h.org/LOB/media/MEDIA48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Tamzin Furtado</cp:lastModifiedBy>
  <cp:revision>3</cp:revision>
  <cp:lastPrinted>2017-07-14T00:32:00Z</cp:lastPrinted>
  <dcterms:created xsi:type="dcterms:W3CDTF">2017-07-17T12:58:00Z</dcterms:created>
  <dcterms:modified xsi:type="dcterms:W3CDTF">2017-07-19T10:57:00Z</dcterms:modified>
</cp:coreProperties>
</file>