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E3" w:rsidRDefault="00DE4BE3" w:rsidP="00DE4BE3"/>
    <w:p w:rsidR="00DE4BE3" w:rsidRDefault="00DE4BE3">
      <w:pPr>
        <w:spacing w:after="200" w:line="276" w:lineRule="auto"/>
        <w:rPr>
          <w:rFonts w:ascii="Calibri" w:hAnsi="Calibri" w:cs="Calibri"/>
          <w:b/>
          <w:bCs/>
          <w:sz w:val="22"/>
          <w:szCs w:val="22"/>
        </w:rPr>
      </w:pPr>
    </w:p>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DE4BE3" w:rsidRPr="008E013F" w:rsidTr="00646543">
        <w:trPr>
          <w:cantSplit/>
          <w:trHeight w:val="2258"/>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cPr>
          <w:p w:rsidR="00DE4BE3" w:rsidRPr="008E013F" w:rsidRDefault="00DE4BE3" w:rsidP="00646543">
            <w:pPr>
              <w:rPr>
                <w:rFonts w:ascii="Calibri" w:hAnsi="Calibri"/>
                <w:b/>
                <w:sz w:val="22"/>
                <w:szCs w:val="22"/>
              </w:rPr>
            </w:pPr>
          </w:p>
          <w:p w:rsidR="00DE4BE3" w:rsidRPr="008E013F" w:rsidRDefault="00DE4BE3" w:rsidP="00646543">
            <w:pPr>
              <w:jc w:val="center"/>
              <w:rPr>
                <w:rFonts w:ascii="Calibri" w:hAnsi="Calibri"/>
                <w:b/>
                <w:sz w:val="22"/>
                <w:szCs w:val="22"/>
              </w:rPr>
            </w:pPr>
            <w:r w:rsidRPr="008E013F">
              <w:rPr>
                <w:rFonts w:ascii="Calibri" w:hAnsi="Calibri"/>
                <w:b/>
                <w:noProof/>
                <w:sz w:val="22"/>
                <w:szCs w:val="22"/>
                <w:lang w:eastAsia="en-GB"/>
              </w:rPr>
              <w:drawing>
                <wp:inline distT="0" distB="0" distL="0" distR="0" wp14:anchorId="1FA638A6" wp14:editId="46D7E99B">
                  <wp:extent cx="1403985" cy="838200"/>
                  <wp:effectExtent l="0" t="0" r="0" b="0"/>
                  <wp:docPr id="1" name="Picture 1"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838200"/>
                          </a:xfrm>
                          <a:prstGeom prst="rect">
                            <a:avLst/>
                          </a:prstGeom>
                          <a:noFill/>
                          <a:ln>
                            <a:noFill/>
                          </a:ln>
                        </pic:spPr>
                      </pic:pic>
                    </a:graphicData>
                  </a:graphic>
                </wp:inline>
              </w:drawing>
            </w:r>
          </w:p>
          <w:p w:rsidR="00DE4BE3" w:rsidRPr="008E013F" w:rsidRDefault="00DE4BE3" w:rsidP="00646543">
            <w:pPr>
              <w:jc w:val="center"/>
              <w:rPr>
                <w:rFonts w:ascii="Calibri" w:hAnsi="Calibri"/>
                <w:b/>
                <w:sz w:val="22"/>
                <w:szCs w:val="22"/>
              </w:rPr>
            </w:pPr>
            <w:r w:rsidRPr="008E013F">
              <w:rPr>
                <w:rFonts w:ascii="Calibri" w:hAnsi="Calibri"/>
                <w:b/>
                <w:sz w:val="22"/>
                <w:szCs w:val="22"/>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cPr>
          <w:p w:rsidR="00DE4BE3" w:rsidRPr="008E013F" w:rsidRDefault="00DE4BE3" w:rsidP="00646543">
            <w:pPr>
              <w:rPr>
                <w:rFonts w:ascii="Calibri" w:hAnsi="Calibri"/>
                <w:b/>
                <w:sz w:val="22"/>
                <w:szCs w:val="22"/>
              </w:rPr>
            </w:pPr>
          </w:p>
          <w:p w:rsidR="00DE4BE3" w:rsidRPr="008E013F" w:rsidRDefault="00DE4BE3" w:rsidP="00646543">
            <w:pPr>
              <w:rPr>
                <w:rFonts w:ascii="Calibri" w:hAnsi="Calibri"/>
                <w:b/>
                <w:sz w:val="22"/>
                <w:szCs w:val="22"/>
              </w:rPr>
            </w:pPr>
            <w:r w:rsidRPr="008E013F">
              <w:rPr>
                <w:rFonts w:ascii="Calibri" w:hAnsi="Calibri"/>
                <w:b/>
                <w:sz w:val="22"/>
                <w:szCs w:val="22"/>
              </w:rPr>
              <w:t xml:space="preserve">SOP No: </w:t>
            </w:r>
          </w:p>
          <w:p w:rsidR="00DE4BE3" w:rsidRPr="008E013F" w:rsidRDefault="00DE4BE3" w:rsidP="00646543">
            <w:pPr>
              <w:rPr>
                <w:rFonts w:ascii="Calibri" w:hAnsi="Calibri"/>
                <w:b/>
                <w:sz w:val="22"/>
                <w:szCs w:val="22"/>
              </w:rPr>
            </w:pPr>
            <w:r w:rsidRPr="008E013F">
              <w:rPr>
                <w:rFonts w:ascii="Calibri" w:hAnsi="Calibri"/>
                <w:b/>
                <w:sz w:val="22"/>
                <w:szCs w:val="22"/>
              </w:rPr>
              <w:t>Version: 1</w:t>
            </w:r>
          </w:p>
          <w:p w:rsidR="00DE4BE3" w:rsidRPr="008E013F" w:rsidRDefault="00DE4BE3" w:rsidP="00646543">
            <w:pPr>
              <w:rPr>
                <w:rFonts w:ascii="Calibri" w:hAnsi="Calibri"/>
                <w:b/>
                <w:sz w:val="22"/>
                <w:szCs w:val="22"/>
              </w:rPr>
            </w:pPr>
            <w:r w:rsidRPr="008E013F">
              <w:rPr>
                <w:rFonts w:ascii="Calibri" w:hAnsi="Calibri"/>
                <w:b/>
                <w:sz w:val="22"/>
                <w:szCs w:val="22"/>
              </w:rPr>
              <w:t xml:space="preserve">Effective Date: </w:t>
            </w:r>
          </w:p>
        </w:tc>
      </w:tr>
      <w:tr w:rsidR="00DE4BE3" w:rsidRPr="008E013F" w:rsidTr="00646543">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DE4BE3" w:rsidRPr="008E013F" w:rsidRDefault="00DE4BE3" w:rsidP="00646543">
            <w:pPr>
              <w:rPr>
                <w:rFonts w:ascii="Calibri" w:hAnsi="Calibri"/>
                <w:b/>
                <w:sz w:val="22"/>
                <w:szCs w:val="22"/>
              </w:rPr>
            </w:pPr>
          </w:p>
          <w:p w:rsidR="00DE4BE3" w:rsidRPr="008E013F" w:rsidRDefault="00DE4BE3" w:rsidP="00DE4BE3">
            <w:pPr>
              <w:rPr>
                <w:rFonts w:ascii="Calibri" w:hAnsi="Calibri"/>
                <w:b/>
                <w:sz w:val="22"/>
                <w:szCs w:val="22"/>
              </w:rPr>
            </w:pPr>
            <w:r w:rsidRPr="008E013F">
              <w:rPr>
                <w:rFonts w:ascii="Calibri" w:hAnsi="Calibri"/>
                <w:b/>
                <w:sz w:val="22"/>
                <w:szCs w:val="22"/>
              </w:rPr>
              <w:t xml:space="preserve">Title:     </w:t>
            </w:r>
            <w:r>
              <w:rPr>
                <w:rFonts w:ascii="Calibri" w:hAnsi="Calibri"/>
                <w:b/>
                <w:sz w:val="22"/>
                <w:szCs w:val="22"/>
              </w:rPr>
              <w:t>Identifying Critical Suppliers</w:t>
            </w:r>
          </w:p>
        </w:tc>
      </w:tr>
      <w:tr w:rsidR="00DE4BE3" w:rsidRPr="008E013F" w:rsidTr="00646543">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tabs>
                <w:tab w:val="left" w:pos="8985"/>
              </w:tabs>
              <w:rPr>
                <w:rFonts w:ascii="Calibri" w:hAnsi="Calibri"/>
                <w:b/>
                <w:sz w:val="22"/>
                <w:szCs w:val="22"/>
              </w:rPr>
            </w:pPr>
            <w:r w:rsidRPr="008E013F">
              <w:rPr>
                <w:rFonts w:ascii="Calibri" w:hAnsi="Calibri"/>
                <w:b/>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pStyle w:val="Heading3"/>
              <w:rPr>
                <w:rFonts w:ascii="Calibri" w:eastAsia="Times New Roman" w:hAnsi="Calibri" w:cs="Times New Roman"/>
                <w:bCs w:val="0"/>
                <w:sz w:val="22"/>
                <w:szCs w:val="22"/>
              </w:rPr>
            </w:pPr>
            <w:r w:rsidRPr="008E013F">
              <w:rPr>
                <w:rFonts w:ascii="Calibri" w:eastAsia="Times New Roman" w:hAnsi="Calibri" w:cs="Times New Roman"/>
                <w:bCs w:val="0"/>
                <w:sz w:val="22"/>
                <w:szCs w:val="22"/>
              </w:rPr>
              <w:t>NAME</w:t>
            </w:r>
            <w:bookmarkStart w:id="0" w:name="_GoBack"/>
            <w:bookmarkEnd w:id="0"/>
          </w:p>
        </w:tc>
        <w:tc>
          <w:tcPr>
            <w:tcW w:w="1600" w:type="dxa"/>
            <w:gridSpan w:val="2"/>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jc w:val="center"/>
              <w:rPr>
                <w:rFonts w:ascii="Calibri" w:hAnsi="Calibri"/>
                <w:b/>
                <w:sz w:val="22"/>
                <w:szCs w:val="22"/>
              </w:rPr>
            </w:pPr>
            <w:r w:rsidRPr="008E013F">
              <w:rPr>
                <w:rFonts w:ascii="Calibri" w:hAnsi="Calibri"/>
                <w:b/>
                <w:sz w:val="22"/>
                <w:szCs w:val="22"/>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jc w:val="center"/>
              <w:rPr>
                <w:rFonts w:ascii="Calibri" w:hAnsi="Calibri"/>
                <w:b/>
                <w:sz w:val="22"/>
                <w:szCs w:val="22"/>
              </w:rPr>
            </w:pPr>
            <w:r w:rsidRPr="008E013F">
              <w:rPr>
                <w:rFonts w:ascii="Calibri" w:hAnsi="Calibri"/>
                <w:b/>
                <w:sz w:val="22"/>
                <w:szCs w:val="22"/>
              </w:rPr>
              <w:t>DATE</w:t>
            </w:r>
          </w:p>
        </w:tc>
      </w:tr>
      <w:tr w:rsidR="00DE4BE3" w:rsidRPr="008E013F" w:rsidTr="00646543">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tabs>
                <w:tab w:val="left" w:pos="8985"/>
              </w:tabs>
              <w:jc w:val="center"/>
              <w:rPr>
                <w:rFonts w:ascii="Calibri" w:hAnsi="Calibri"/>
                <w:b/>
                <w:sz w:val="22"/>
                <w:szCs w:val="22"/>
              </w:rPr>
            </w:pPr>
            <w:r w:rsidRPr="008E013F">
              <w:rPr>
                <w:rFonts w:ascii="Calibri" w:hAnsi="Calibr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pStyle w:val="Heading4"/>
              <w:rPr>
                <w:rFonts w:ascii="Calibri" w:hAnsi="Calibr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jc w:val="center"/>
              <w:rPr>
                <w:rFonts w:ascii="Calibri" w:hAnsi="Calibr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jc w:val="center"/>
              <w:rPr>
                <w:rFonts w:ascii="Calibri" w:hAnsi="Calibri"/>
                <w:sz w:val="22"/>
                <w:szCs w:val="22"/>
              </w:rPr>
            </w:pPr>
          </w:p>
        </w:tc>
      </w:tr>
      <w:tr w:rsidR="00DE4BE3" w:rsidRPr="008E013F" w:rsidTr="00646543">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tabs>
                <w:tab w:val="left" w:pos="8985"/>
              </w:tabs>
              <w:jc w:val="center"/>
              <w:rPr>
                <w:rFonts w:ascii="Calibri" w:hAnsi="Calibri"/>
                <w:b/>
                <w:sz w:val="22"/>
                <w:szCs w:val="22"/>
              </w:rPr>
            </w:pPr>
            <w:r w:rsidRPr="008E013F">
              <w:rPr>
                <w:rFonts w:ascii="Calibri" w:hAnsi="Calibr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jc w:val="center"/>
              <w:rPr>
                <w:rFonts w:ascii="Calibri" w:hAnsi="Calibr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jc w:val="center"/>
              <w:rPr>
                <w:rFonts w:ascii="Calibri" w:hAnsi="Calibr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jc w:val="center"/>
              <w:rPr>
                <w:rFonts w:ascii="Calibri" w:hAnsi="Calibri"/>
                <w:sz w:val="22"/>
                <w:szCs w:val="22"/>
              </w:rPr>
            </w:pPr>
          </w:p>
        </w:tc>
      </w:tr>
      <w:tr w:rsidR="00DE4BE3" w:rsidRPr="008E013F" w:rsidTr="00646543">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tabs>
                <w:tab w:val="left" w:pos="8985"/>
              </w:tabs>
              <w:jc w:val="center"/>
              <w:rPr>
                <w:rFonts w:ascii="Calibri" w:hAnsi="Calibri"/>
                <w:b/>
                <w:sz w:val="22"/>
                <w:szCs w:val="22"/>
              </w:rPr>
            </w:pPr>
            <w:r w:rsidRPr="008E013F">
              <w:rPr>
                <w:rFonts w:ascii="Calibri" w:hAnsi="Calibri"/>
                <w:b/>
                <w:sz w:val="22"/>
                <w:szCs w:val="22"/>
              </w:rPr>
              <w:t>QA UNIT</w:t>
            </w:r>
          </w:p>
          <w:p w:rsidR="00DE4BE3" w:rsidRPr="008E013F" w:rsidRDefault="00DE4BE3" w:rsidP="00646543">
            <w:pPr>
              <w:tabs>
                <w:tab w:val="left" w:pos="8985"/>
              </w:tabs>
              <w:jc w:val="center"/>
              <w:rPr>
                <w:rFonts w:ascii="Calibri" w:hAnsi="Calibri"/>
                <w:b/>
                <w:sz w:val="22"/>
                <w:szCs w:val="22"/>
              </w:rPr>
            </w:pPr>
            <w:r w:rsidRPr="008E013F">
              <w:rPr>
                <w:rFonts w:ascii="Calibri" w:hAnsi="Calibr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jc w:val="center"/>
              <w:rPr>
                <w:rFonts w:ascii="Calibri" w:hAnsi="Calibr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jc w:val="center"/>
              <w:rPr>
                <w:rFonts w:ascii="Calibri" w:hAnsi="Calibr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jc w:val="center"/>
              <w:rPr>
                <w:rFonts w:ascii="Calibri" w:hAnsi="Calibri"/>
                <w:sz w:val="22"/>
                <w:szCs w:val="22"/>
              </w:rPr>
            </w:pPr>
          </w:p>
        </w:tc>
      </w:tr>
      <w:tr w:rsidR="00DE4BE3" w:rsidRPr="008E013F" w:rsidTr="00646543">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tabs>
                <w:tab w:val="left" w:pos="8985"/>
              </w:tabs>
              <w:jc w:val="center"/>
              <w:rPr>
                <w:rFonts w:ascii="Calibri" w:hAnsi="Calibri"/>
                <w:b/>
                <w:sz w:val="22"/>
                <w:szCs w:val="22"/>
              </w:rPr>
            </w:pPr>
            <w:r w:rsidRPr="008E013F">
              <w:rPr>
                <w:rFonts w:ascii="Calibri" w:hAnsi="Calibri"/>
                <w:b/>
                <w:sz w:val="22"/>
                <w:szCs w:val="22"/>
              </w:rPr>
              <w:lastRenderedPageBreak/>
              <w:t>APPROVAL</w:t>
            </w:r>
          </w:p>
          <w:p w:rsidR="00DE4BE3" w:rsidRPr="008E013F" w:rsidRDefault="00DE4BE3" w:rsidP="00646543">
            <w:pPr>
              <w:tabs>
                <w:tab w:val="left" w:pos="8985"/>
              </w:tabs>
              <w:jc w:val="center"/>
              <w:rPr>
                <w:rFonts w:ascii="Calibri" w:hAnsi="Calibri"/>
                <w:b/>
                <w:sz w:val="22"/>
                <w:szCs w:val="22"/>
              </w:rPr>
            </w:pPr>
            <w:r w:rsidRPr="008E013F">
              <w:rPr>
                <w:rFonts w:ascii="Calibri" w:hAnsi="Calibr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jc w:val="center"/>
              <w:rPr>
                <w:rFonts w:ascii="Calibri" w:hAnsi="Calibr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jc w:val="center"/>
              <w:rPr>
                <w:rFonts w:ascii="Calibri" w:hAnsi="Calibr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DE4BE3" w:rsidRPr="008E013F" w:rsidRDefault="00DE4BE3" w:rsidP="00646543">
            <w:pPr>
              <w:jc w:val="center"/>
              <w:rPr>
                <w:rFonts w:ascii="Calibri" w:hAnsi="Calibri"/>
                <w:sz w:val="22"/>
                <w:szCs w:val="22"/>
              </w:rPr>
            </w:pPr>
          </w:p>
        </w:tc>
      </w:tr>
    </w:tbl>
    <w:p w:rsidR="00DE4BE3" w:rsidRDefault="00DE4BE3">
      <w:pPr>
        <w:spacing w:after="200" w:line="276" w:lineRule="auto"/>
        <w:rPr>
          <w:rFonts w:ascii="Calibri" w:hAnsi="Calibri" w:cs="Calibri"/>
          <w:b/>
          <w:bCs/>
          <w:sz w:val="22"/>
          <w:szCs w:val="22"/>
        </w:rPr>
      </w:pPr>
    </w:p>
    <w:p w:rsidR="00DE4BE3" w:rsidRDefault="00DE4BE3" w:rsidP="00DE4BE3">
      <w:pPr>
        <w:numPr>
          <w:ilvl w:val="0"/>
          <w:numId w:val="1"/>
        </w:numPr>
        <w:spacing w:line="360" w:lineRule="auto"/>
        <w:jc w:val="both"/>
        <w:rPr>
          <w:rFonts w:ascii="Calibri" w:hAnsi="Calibri" w:cs="Calibri"/>
          <w:b/>
          <w:bCs/>
          <w:sz w:val="22"/>
          <w:szCs w:val="22"/>
        </w:rPr>
      </w:pPr>
      <w:r>
        <w:rPr>
          <w:rFonts w:ascii="Calibri" w:hAnsi="Calibri" w:cs="Calibri"/>
          <w:b/>
          <w:bCs/>
          <w:sz w:val="22"/>
          <w:szCs w:val="22"/>
        </w:rPr>
        <w:t>Purpose/scope</w:t>
      </w:r>
      <w:r w:rsidRPr="00853743">
        <w:rPr>
          <w:rFonts w:ascii="Calibri" w:hAnsi="Calibri" w:cs="Calibri"/>
          <w:b/>
          <w:bCs/>
          <w:sz w:val="22"/>
          <w:szCs w:val="22"/>
        </w:rPr>
        <w:tab/>
      </w:r>
      <w:r w:rsidRPr="00853743">
        <w:rPr>
          <w:rFonts w:ascii="Calibri" w:hAnsi="Calibri" w:cs="Calibri"/>
          <w:b/>
          <w:bCs/>
          <w:sz w:val="22"/>
          <w:szCs w:val="22"/>
        </w:rPr>
        <w:tab/>
      </w:r>
      <w:r w:rsidRPr="00853743">
        <w:rPr>
          <w:rFonts w:ascii="Calibri" w:hAnsi="Calibri" w:cs="Calibri"/>
          <w:b/>
          <w:bCs/>
          <w:sz w:val="22"/>
          <w:szCs w:val="22"/>
        </w:rPr>
        <w:tab/>
      </w:r>
    </w:p>
    <w:p w:rsidR="00DE4BE3" w:rsidRPr="002A25B1" w:rsidRDefault="00DE4BE3" w:rsidP="00DE4BE3">
      <w:pPr>
        <w:spacing w:line="360" w:lineRule="auto"/>
        <w:jc w:val="both"/>
        <w:rPr>
          <w:rFonts w:ascii="Calibri" w:hAnsi="Calibri" w:cs="Calibri"/>
          <w:bCs/>
          <w:sz w:val="22"/>
          <w:szCs w:val="22"/>
        </w:rPr>
      </w:pPr>
      <w:r w:rsidRPr="00731882">
        <w:rPr>
          <w:rFonts w:ascii="Calibri" w:hAnsi="Calibri" w:cs="Calibri"/>
          <w:bCs/>
          <w:sz w:val="22"/>
          <w:szCs w:val="22"/>
        </w:rPr>
        <w:t xml:space="preserve">To describe the </w:t>
      </w:r>
      <w:r>
        <w:rPr>
          <w:rFonts w:ascii="Calibri" w:hAnsi="Calibri" w:cs="Calibri"/>
          <w:bCs/>
          <w:sz w:val="22"/>
          <w:szCs w:val="22"/>
        </w:rPr>
        <w:t>procedure</w:t>
      </w:r>
      <w:r w:rsidRPr="00731882">
        <w:rPr>
          <w:rFonts w:ascii="Calibri" w:hAnsi="Calibri" w:cs="Calibri"/>
          <w:bCs/>
          <w:sz w:val="22"/>
          <w:szCs w:val="22"/>
        </w:rPr>
        <w:t xml:space="preserve"> </w:t>
      </w:r>
      <w:r>
        <w:rPr>
          <w:rFonts w:ascii="Calibri" w:hAnsi="Calibri" w:cs="Calibri"/>
          <w:bCs/>
          <w:sz w:val="22"/>
          <w:szCs w:val="22"/>
        </w:rPr>
        <w:t>for</w:t>
      </w:r>
      <w:r w:rsidRPr="00731882">
        <w:rPr>
          <w:rFonts w:ascii="Calibri" w:hAnsi="Calibri" w:cs="Calibri"/>
          <w:bCs/>
          <w:sz w:val="22"/>
          <w:szCs w:val="22"/>
        </w:rPr>
        <w:t xml:space="preserve"> </w:t>
      </w:r>
      <w:r>
        <w:rPr>
          <w:rFonts w:ascii="Calibri" w:hAnsi="Calibri" w:cs="Calibri"/>
          <w:bCs/>
          <w:sz w:val="22"/>
          <w:szCs w:val="22"/>
        </w:rPr>
        <w:t xml:space="preserve">how critical service providers (suppliers/vendors) are identified, selected and managed to ensure they are suitably qualified, skilled, experienced or otherwise able to provide the quality of service required for a clinical trial </w:t>
      </w:r>
      <w:r>
        <w:rPr>
          <w:rFonts w:ascii="Calibri" w:hAnsi="Calibri" w:cs="Calibri"/>
          <w:bCs/>
          <w:sz w:val="22"/>
          <w:szCs w:val="22"/>
        </w:rPr>
        <w:t>conducted by [institution]</w:t>
      </w:r>
      <w:r w:rsidRPr="00731882">
        <w:rPr>
          <w:rFonts w:ascii="Calibri" w:hAnsi="Calibri" w:cs="Calibri"/>
          <w:bCs/>
          <w:sz w:val="22"/>
          <w:szCs w:val="22"/>
        </w:rPr>
        <w:t>.</w:t>
      </w:r>
      <w:r>
        <w:rPr>
          <w:rFonts w:ascii="Calibri" w:hAnsi="Calibri" w:cs="Calibri"/>
          <w:bCs/>
          <w:sz w:val="22"/>
          <w:szCs w:val="22"/>
        </w:rPr>
        <w:t xml:space="preserve"> This SOP covers service providers such as laboratories, caterers, consultants (e.g. specialists, quality assurance or regulatory professionals, data management companies etc.) but does not cover the acquisition or manufacturing of medicines (investigational medicinal product, comparator, rescue medicines etc.) or acquisition of equipment and consumables.</w:t>
      </w:r>
    </w:p>
    <w:p w:rsidR="00DE4BE3" w:rsidRPr="001177BC" w:rsidRDefault="00DE4BE3" w:rsidP="00DE4BE3">
      <w:pPr>
        <w:spacing w:line="360" w:lineRule="auto"/>
        <w:jc w:val="both"/>
        <w:rPr>
          <w:rFonts w:ascii="Calibri" w:hAnsi="Calibri" w:cs="Calibri"/>
          <w:bCs/>
          <w:sz w:val="22"/>
          <w:szCs w:val="22"/>
        </w:rPr>
      </w:pPr>
    </w:p>
    <w:p w:rsidR="00DE4BE3" w:rsidRPr="002A25B1" w:rsidRDefault="00DE4BE3" w:rsidP="00DE4BE3">
      <w:pPr>
        <w:numPr>
          <w:ilvl w:val="0"/>
          <w:numId w:val="1"/>
        </w:numPr>
        <w:spacing w:line="360" w:lineRule="auto"/>
        <w:jc w:val="both"/>
        <w:rPr>
          <w:rFonts w:ascii="Calibri" w:hAnsi="Calibri" w:cs="Calibri"/>
          <w:b/>
          <w:bCs/>
          <w:sz w:val="22"/>
          <w:szCs w:val="22"/>
        </w:rPr>
      </w:pPr>
      <w:r>
        <w:rPr>
          <w:rFonts w:ascii="Calibri" w:hAnsi="Calibri" w:cs="Calibri"/>
          <w:b/>
          <w:sz w:val="22"/>
          <w:szCs w:val="22"/>
        </w:rPr>
        <w:t>Templates/f</w:t>
      </w:r>
      <w:r w:rsidRPr="002A25B1">
        <w:rPr>
          <w:rFonts w:ascii="Calibri" w:hAnsi="Calibri" w:cs="Calibri"/>
          <w:b/>
          <w:sz w:val="22"/>
          <w:szCs w:val="22"/>
        </w:rPr>
        <w:t>orms</w:t>
      </w:r>
      <w:r w:rsidRPr="002A25B1">
        <w:rPr>
          <w:rFonts w:ascii="Calibri" w:hAnsi="Calibri" w:cs="Calibri"/>
          <w:b/>
          <w:sz w:val="22"/>
          <w:szCs w:val="22"/>
        </w:rPr>
        <w:tab/>
      </w:r>
    </w:p>
    <w:p w:rsidR="00DE4BE3" w:rsidRDefault="00DE4BE3" w:rsidP="00DE4BE3">
      <w:pPr>
        <w:spacing w:line="360" w:lineRule="auto"/>
        <w:jc w:val="both"/>
        <w:rPr>
          <w:rFonts w:ascii="Calibri" w:hAnsi="Calibri" w:cs="Calibri"/>
          <w:bCs/>
          <w:sz w:val="22"/>
          <w:szCs w:val="22"/>
        </w:rPr>
      </w:pPr>
      <w:r>
        <w:rPr>
          <w:rFonts w:ascii="Calibri" w:hAnsi="Calibri" w:cs="Calibri"/>
          <w:bCs/>
          <w:sz w:val="22"/>
          <w:szCs w:val="22"/>
        </w:rPr>
        <w:t>AD09.1</w:t>
      </w:r>
      <w:r>
        <w:rPr>
          <w:rFonts w:ascii="Calibri" w:hAnsi="Calibri" w:cs="Calibri"/>
          <w:bCs/>
          <w:sz w:val="22"/>
          <w:szCs w:val="22"/>
        </w:rPr>
        <w:tab/>
        <w:t>Confidential disclosure agreement (internal suppliers)</w:t>
      </w:r>
    </w:p>
    <w:p w:rsidR="00DE4BE3" w:rsidRPr="00071BEE" w:rsidRDefault="00DE4BE3" w:rsidP="00DE4BE3">
      <w:pPr>
        <w:spacing w:line="360" w:lineRule="auto"/>
        <w:jc w:val="both"/>
        <w:rPr>
          <w:rFonts w:ascii="Calibri" w:hAnsi="Calibri" w:cs="Calibri"/>
          <w:b/>
          <w:sz w:val="22"/>
          <w:szCs w:val="22"/>
        </w:rPr>
      </w:pPr>
    </w:p>
    <w:p w:rsidR="00DE4BE3" w:rsidRPr="00726CA5" w:rsidRDefault="00DE4BE3" w:rsidP="00DE4BE3">
      <w:pPr>
        <w:numPr>
          <w:ilvl w:val="0"/>
          <w:numId w:val="1"/>
        </w:numPr>
        <w:spacing w:line="360" w:lineRule="auto"/>
        <w:jc w:val="both"/>
        <w:rPr>
          <w:rFonts w:ascii="Calibri" w:hAnsi="Calibri" w:cs="Calibri"/>
          <w:b/>
          <w:bCs/>
          <w:sz w:val="22"/>
          <w:szCs w:val="22"/>
        </w:rPr>
      </w:pPr>
      <w:r w:rsidRPr="00726CA5">
        <w:rPr>
          <w:rFonts w:ascii="Calibri" w:hAnsi="Calibri" w:cs="Calibri"/>
          <w:b/>
          <w:bCs/>
          <w:sz w:val="22"/>
          <w:szCs w:val="22"/>
        </w:rPr>
        <w:t>Glossary/definitions</w:t>
      </w:r>
    </w:p>
    <w:p w:rsidR="00DE4BE3" w:rsidRPr="00726CA5" w:rsidRDefault="00DE4BE3" w:rsidP="00DE4BE3">
      <w:pPr>
        <w:spacing w:line="360" w:lineRule="auto"/>
        <w:jc w:val="both"/>
        <w:rPr>
          <w:rFonts w:ascii="Calibri" w:hAnsi="Calibri" w:cs="Calibri"/>
          <w:bCs/>
          <w:sz w:val="22"/>
          <w:szCs w:val="22"/>
        </w:rPr>
      </w:pPr>
      <w:r w:rsidRPr="00726CA5">
        <w:rPr>
          <w:rFonts w:ascii="Calibri" w:hAnsi="Calibri" w:cs="Calibri"/>
          <w:bCs/>
          <w:sz w:val="22"/>
          <w:szCs w:val="22"/>
        </w:rPr>
        <w:t>None</w:t>
      </w:r>
    </w:p>
    <w:p w:rsidR="00DE4BE3" w:rsidRPr="005C40FE" w:rsidRDefault="00DE4BE3" w:rsidP="00DE4BE3">
      <w:pPr>
        <w:spacing w:line="360" w:lineRule="auto"/>
        <w:jc w:val="both"/>
        <w:rPr>
          <w:rFonts w:ascii="Calibri" w:hAnsi="Calibri" w:cs="Calibri"/>
          <w:bCs/>
          <w:sz w:val="22"/>
          <w:szCs w:val="22"/>
        </w:rPr>
      </w:pPr>
    </w:p>
    <w:p w:rsidR="00DE4BE3" w:rsidRPr="00946189" w:rsidRDefault="00DE4BE3" w:rsidP="00DE4BE3">
      <w:pPr>
        <w:numPr>
          <w:ilvl w:val="0"/>
          <w:numId w:val="1"/>
        </w:numPr>
        <w:spacing w:line="360" w:lineRule="auto"/>
        <w:jc w:val="both"/>
        <w:rPr>
          <w:rFonts w:ascii="Calibri" w:hAnsi="Calibri" w:cs="Calibri"/>
          <w:b/>
          <w:bCs/>
          <w:sz w:val="22"/>
          <w:szCs w:val="22"/>
        </w:rPr>
      </w:pPr>
      <w:r>
        <w:rPr>
          <w:rFonts w:ascii="Calibri" w:hAnsi="Calibri" w:cs="Calibri"/>
          <w:b/>
          <w:bCs/>
          <w:sz w:val="22"/>
          <w:szCs w:val="22"/>
        </w:rPr>
        <w:t>Responsibilities</w:t>
      </w:r>
      <w:r w:rsidRPr="00071BEE">
        <w:rPr>
          <w:rFonts w:ascii="Calibri" w:hAnsi="Calibri" w:cs="Calibri"/>
          <w:b/>
          <w:bCs/>
          <w:sz w:val="22"/>
          <w:szCs w:val="22"/>
        </w:rPr>
        <w:t xml:space="preserve"> </w:t>
      </w:r>
      <w:r>
        <w:rPr>
          <w:rFonts w:ascii="Calibri" w:hAnsi="Calibri" w:cs="Calibri"/>
          <w:b/>
          <w:bCs/>
          <w:sz w:val="22"/>
          <w:szCs w:val="22"/>
        </w:rPr>
        <w:t>and procedure</w:t>
      </w:r>
    </w:p>
    <w:p w:rsidR="00DE4BE3" w:rsidRPr="002A082D" w:rsidRDefault="00DE4BE3" w:rsidP="00DE4BE3">
      <w:pPr>
        <w:spacing w:line="360" w:lineRule="auto"/>
        <w:jc w:val="both"/>
        <w:rPr>
          <w:rFonts w:ascii="Calibri" w:hAnsi="Calibri" w:cs="Calibri"/>
          <w:b/>
          <w:bCs/>
          <w:sz w:val="22"/>
          <w:szCs w:val="22"/>
        </w:rPr>
      </w:pPr>
      <w:r>
        <w:rPr>
          <w:rFonts w:ascii="Calibri" w:hAnsi="Calibri" w:cs="Calibri"/>
          <w:b/>
          <w:bCs/>
          <w:sz w:val="22"/>
          <w:szCs w:val="22"/>
        </w:rPr>
        <w:t>Identification and selection of supplier/vendor</w:t>
      </w:r>
    </w:p>
    <w:p w:rsidR="00DE4BE3" w:rsidRPr="009E44E2" w:rsidRDefault="00DE4BE3" w:rsidP="00DE4BE3">
      <w:pPr>
        <w:numPr>
          <w:ilvl w:val="1"/>
          <w:numId w:val="1"/>
        </w:numPr>
        <w:spacing w:line="360" w:lineRule="auto"/>
        <w:ind w:left="1152"/>
        <w:jc w:val="both"/>
        <w:rPr>
          <w:rFonts w:ascii="Calibri" w:hAnsi="Calibri" w:cs="Calibri"/>
          <w:b/>
          <w:bCs/>
          <w:sz w:val="22"/>
          <w:szCs w:val="22"/>
        </w:rPr>
      </w:pPr>
      <w:r w:rsidRPr="00B120EA">
        <w:rPr>
          <w:rFonts w:ascii="Calibri" w:hAnsi="Calibri" w:cs="Calibri"/>
          <w:sz w:val="22"/>
          <w:szCs w:val="22"/>
        </w:rPr>
        <w:t xml:space="preserve">The </w:t>
      </w:r>
      <w:r>
        <w:rPr>
          <w:rFonts w:ascii="Calibri" w:hAnsi="Calibri" w:cs="Calibri"/>
          <w:sz w:val="22"/>
          <w:szCs w:val="22"/>
        </w:rPr>
        <w:t xml:space="preserve">Principal Investigator (PI) </w:t>
      </w:r>
      <w:r w:rsidRPr="00B120EA">
        <w:rPr>
          <w:rFonts w:ascii="Calibri" w:hAnsi="Calibri" w:cs="Calibri"/>
          <w:sz w:val="22"/>
          <w:szCs w:val="22"/>
        </w:rPr>
        <w:t xml:space="preserve">should ensure all </w:t>
      </w:r>
      <w:r>
        <w:rPr>
          <w:rFonts w:ascii="Calibri" w:hAnsi="Calibri" w:cs="Calibri"/>
          <w:sz w:val="22"/>
          <w:szCs w:val="22"/>
        </w:rPr>
        <w:t>suppliers/vendors who provide a critical service</w:t>
      </w:r>
      <w:r w:rsidRPr="00B120EA">
        <w:rPr>
          <w:rFonts w:ascii="Calibri" w:hAnsi="Calibri" w:cs="Calibri"/>
          <w:sz w:val="22"/>
          <w:szCs w:val="22"/>
        </w:rPr>
        <w:t xml:space="preserve"> </w:t>
      </w:r>
      <w:r>
        <w:rPr>
          <w:rFonts w:ascii="Calibri" w:hAnsi="Calibri" w:cs="Calibri"/>
          <w:sz w:val="22"/>
          <w:szCs w:val="22"/>
        </w:rPr>
        <w:t xml:space="preserve">for a particular clinical trial </w:t>
      </w:r>
      <w:r w:rsidRPr="00B120EA">
        <w:rPr>
          <w:rFonts w:ascii="Calibri" w:hAnsi="Calibri" w:cs="Calibri"/>
          <w:sz w:val="22"/>
          <w:szCs w:val="22"/>
        </w:rPr>
        <w:t xml:space="preserve">are adequately </w:t>
      </w:r>
      <w:r>
        <w:rPr>
          <w:rFonts w:ascii="Calibri" w:hAnsi="Calibri" w:cs="Calibri"/>
          <w:sz w:val="22"/>
          <w:szCs w:val="22"/>
        </w:rPr>
        <w:t xml:space="preserve">qualified, experienced, skilled </w:t>
      </w:r>
      <w:r>
        <w:rPr>
          <w:rFonts w:ascii="Calibri" w:hAnsi="Calibri" w:cs="Calibri"/>
          <w:bCs/>
          <w:sz w:val="22"/>
          <w:szCs w:val="22"/>
        </w:rPr>
        <w:t xml:space="preserve">and/or otherwise able to </w:t>
      </w:r>
      <w:r>
        <w:rPr>
          <w:rFonts w:ascii="Calibri" w:hAnsi="Calibri" w:cs="Calibri"/>
          <w:sz w:val="22"/>
          <w:szCs w:val="22"/>
        </w:rPr>
        <w:t>comply with the required level of quality.</w:t>
      </w:r>
    </w:p>
    <w:p w:rsidR="00DE4BE3" w:rsidRPr="00EC1666" w:rsidRDefault="00DE4BE3" w:rsidP="00DE4BE3">
      <w:pPr>
        <w:numPr>
          <w:ilvl w:val="1"/>
          <w:numId w:val="1"/>
        </w:numPr>
        <w:spacing w:line="360" w:lineRule="auto"/>
        <w:ind w:left="1152"/>
        <w:jc w:val="both"/>
        <w:rPr>
          <w:rFonts w:ascii="Calibri" w:hAnsi="Calibri" w:cs="Calibri"/>
          <w:bCs/>
          <w:sz w:val="22"/>
          <w:szCs w:val="22"/>
        </w:rPr>
      </w:pPr>
      <w:r>
        <w:rPr>
          <w:rFonts w:ascii="Calibri" w:hAnsi="Calibri" w:cs="Calibri"/>
          <w:bCs/>
          <w:sz w:val="22"/>
          <w:szCs w:val="22"/>
        </w:rPr>
        <w:t>The depth of investigation into suitability of the supplier/vendor will depend on the type of service required and the sponsor's requirements. Any or all of the</w:t>
      </w:r>
      <w:r w:rsidRPr="002B0AD8">
        <w:rPr>
          <w:rFonts w:ascii="Calibri" w:hAnsi="Calibri" w:cs="Calibri"/>
          <w:bCs/>
          <w:sz w:val="22"/>
          <w:szCs w:val="22"/>
        </w:rPr>
        <w:t xml:space="preserve"> following </w:t>
      </w:r>
      <w:r>
        <w:rPr>
          <w:rFonts w:ascii="Calibri" w:hAnsi="Calibri" w:cs="Calibri"/>
          <w:bCs/>
          <w:sz w:val="22"/>
          <w:szCs w:val="22"/>
        </w:rPr>
        <w:t>criteria may be used:</w:t>
      </w:r>
    </w:p>
    <w:p w:rsidR="00DE4BE3" w:rsidRDefault="00DE4BE3" w:rsidP="00DE4BE3">
      <w:pPr>
        <w:numPr>
          <w:ilvl w:val="0"/>
          <w:numId w:val="2"/>
        </w:numPr>
        <w:spacing w:line="360" w:lineRule="auto"/>
        <w:jc w:val="both"/>
        <w:rPr>
          <w:rFonts w:ascii="Calibri" w:hAnsi="Calibri" w:cs="Calibri"/>
          <w:bCs/>
          <w:sz w:val="22"/>
          <w:szCs w:val="22"/>
        </w:rPr>
      </w:pPr>
      <w:r>
        <w:rPr>
          <w:rFonts w:ascii="Calibri" w:hAnsi="Calibri" w:cs="Calibri"/>
          <w:bCs/>
          <w:sz w:val="22"/>
          <w:szCs w:val="22"/>
        </w:rPr>
        <w:t>Previous positive experience (including a positive audit report)</w:t>
      </w:r>
    </w:p>
    <w:p w:rsidR="00DE4BE3" w:rsidRDefault="00DE4BE3" w:rsidP="00DE4BE3">
      <w:pPr>
        <w:numPr>
          <w:ilvl w:val="0"/>
          <w:numId w:val="2"/>
        </w:numPr>
        <w:spacing w:line="360" w:lineRule="auto"/>
        <w:jc w:val="both"/>
        <w:rPr>
          <w:rFonts w:ascii="Calibri" w:hAnsi="Calibri" w:cs="Calibri"/>
          <w:bCs/>
          <w:sz w:val="22"/>
          <w:szCs w:val="22"/>
        </w:rPr>
      </w:pPr>
      <w:r>
        <w:rPr>
          <w:rFonts w:ascii="Calibri" w:hAnsi="Calibri" w:cs="Calibri"/>
          <w:bCs/>
          <w:sz w:val="22"/>
          <w:szCs w:val="22"/>
        </w:rPr>
        <w:t>Recommendation from another site/CRO/Sponsor</w:t>
      </w:r>
    </w:p>
    <w:p w:rsidR="00DE4BE3" w:rsidRPr="00433591" w:rsidRDefault="00DE4BE3" w:rsidP="00DE4BE3">
      <w:pPr>
        <w:numPr>
          <w:ilvl w:val="0"/>
          <w:numId w:val="2"/>
        </w:numPr>
        <w:spacing w:line="360" w:lineRule="auto"/>
        <w:jc w:val="both"/>
        <w:rPr>
          <w:rFonts w:ascii="Calibri" w:hAnsi="Calibri" w:cs="Calibri"/>
          <w:bCs/>
          <w:sz w:val="22"/>
          <w:szCs w:val="22"/>
        </w:rPr>
      </w:pPr>
      <w:r>
        <w:rPr>
          <w:rFonts w:ascii="Calibri" w:hAnsi="Calibri" w:cs="Calibri"/>
          <w:bCs/>
          <w:sz w:val="22"/>
          <w:szCs w:val="22"/>
        </w:rPr>
        <w:t>Enquiry into the supplier's scope of work, experience, certification and/or accreditation</w:t>
      </w:r>
      <w:r w:rsidRPr="00FB3B85">
        <w:rPr>
          <w:rFonts w:ascii="Calibri" w:hAnsi="Calibri" w:cs="Calibri"/>
          <w:bCs/>
          <w:sz w:val="22"/>
          <w:szCs w:val="22"/>
        </w:rPr>
        <w:t>.</w:t>
      </w:r>
      <w:r>
        <w:rPr>
          <w:rFonts w:ascii="Calibri" w:hAnsi="Calibri" w:cs="Calibri"/>
          <w:bCs/>
          <w:sz w:val="22"/>
          <w:szCs w:val="22"/>
        </w:rPr>
        <w:t xml:space="preserve"> This will depend on the type of service.</w:t>
      </w:r>
    </w:p>
    <w:p w:rsidR="00DE4BE3" w:rsidRDefault="00DE4BE3" w:rsidP="00DE4BE3">
      <w:pPr>
        <w:numPr>
          <w:ilvl w:val="0"/>
          <w:numId w:val="2"/>
        </w:numPr>
        <w:spacing w:line="360" w:lineRule="auto"/>
        <w:jc w:val="both"/>
        <w:rPr>
          <w:rFonts w:ascii="Calibri" w:hAnsi="Calibri" w:cs="Calibri"/>
          <w:bCs/>
          <w:sz w:val="22"/>
          <w:szCs w:val="22"/>
        </w:rPr>
      </w:pPr>
      <w:r>
        <w:rPr>
          <w:rFonts w:ascii="Calibri" w:hAnsi="Calibri" w:cs="Calibri"/>
          <w:bCs/>
          <w:sz w:val="22"/>
          <w:szCs w:val="22"/>
        </w:rPr>
        <w:t xml:space="preserve">Pre-qualification audit by an appropriately qualified member of the </w:t>
      </w:r>
      <w:r>
        <w:rPr>
          <w:rFonts w:ascii="Calibri" w:hAnsi="Calibri" w:cs="Calibri"/>
          <w:bCs/>
          <w:sz w:val="22"/>
          <w:szCs w:val="22"/>
        </w:rPr>
        <w:t xml:space="preserve">[group] </w:t>
      </w:r>
      <w:r>
        <w:rPr>
          <w:rFonts w:ascii="Calibri" w:hAnsi="Calibri" w:cs="Calibri"/>
          <w:bCs/>
          <w:sz w:val="22"/>
          <w:szCs w:val="22"/>
        </w:rPr>
        <w:t xml:space="preserve"> or an external company/consultant. An audit will typically include assessing compliance against applicable guidelines and/or regulations (e.g. Good Clinical Laboratory Practice, their own SOPs) including review of relevant documentation (e.g. accreditation certificates, CVs). NB outstanding actions relating to findings must be completed before contracts are signed.</w:t>
      </w:r>
    </w:p>
    <w:p w:rsidR="00DE4BE3" w:rsidRPr="00EC1666" w:rsidRDefault="00DE4BE3" w:rsidP="00DE4BE3">
      <w:pPr>
        <w:numPr>
          <w:ilvl w:val="0"/>
          <w:numId w:val="2"/>
        </w:numPr>
        <w:spacing w:line="360" w:lineRule="auto"/>
        <w:jc w:val="both"/>
        <w:rPr>
          <w:rFonts w:ascii="Calibri" w:hAnsi="Calibri" w:cs="Calibri"/>
          <w:bCs/>
          <w:sz w:val="22"/>
          <w:szCs w:val="22"/>
        </w:rPr>
      </w:pPr>
      <w:r>
        <w:rPr>
          <w:rFonts w:ascii="Calibri" w:hAnsi="Calibri" w:cs="Calibri"/>
          <w:bCs/>
          <w:sz w:val="22"/>
          <w:szCs w:val="22"/>
        </w:rPr>
        <w:t xml:space="preserve">Review of available disqualification lists (e.g. FDA). </w:t>
      </w:r>
    </w:p>
    <w:p w:rsidR="00DE4BE3" w:rsidRPr="00227061" w:rsidRDefault="00DE4BE3" w:rsidP="00DE4BE3">
      <w:pPr>
        <w:numPr>
          <w:ilvl w:val="1"/>
          <w:numId w:val="1"/>
        </w:numPr>
        <w:spacing w:line="360" w:lineRule="auto"/>
        <w:ind w:left="1152"/>
        <w:jc w:val="both"/>
        <w:rPr>
          <w:rFonts w:ascii="Calibri" w:hAnsi="Calibri" w:cs="Calibri"/>
          <w:bCs/>
          <w:sz w:val="22"/>
          <w:szCs w:val="22"/>
        </w:rPr>
      </w:pPr>
      <w:r w:rsidRPr="00225EDE">
        <w:rPr>
          <w:rFonts w:ascii="Calibri" w:hAnsi="Calibri" w:cs="Calibri"/>
          <w:sz w:val="22"/>
          <w:szCs w:val="22"/>
        </w:rPr>
        <w:t xml:space="preserve">A suitably qualified member(s) of the </w:t>
      </w:r>
      <w:r>
        <w:rPr>
          <w:rFonts w:ascii="Calibri" w:hAnsi="Calibri" w:cs="Calibri"/>
          <w:bCs/>
          <w:sz w:val="22"/>
          <w:szCs w:val="22"/>
        </w:rPr>
        <w:t xml:space="preserve">[group] </w:t>
      </w:r>
      <w:r w:rsidRPr="00225EDE">
        <w:rPr>
          <w:rFonts w:ascii="Calibri" w:hAnsi="Calibri" w:cs="Calibri"/>
          <w:sz w:val="22"/>
          <w:szCs w:val="22"/>
        </w:rPr>
        <w:t xml:space="preserve">team will be tasked with coordinating the development of a list of </w:t>
      </w:r>
      <w:r>
        <w:rPr>
          <w:rFonts w:ascii="Calibri" w:hAnsi="Calibri" w:cs="Calibri"/>
          <w:sz w:val="22"/>
          <w:szCs w:val="22"/>
        </w:rPr>
        <w:t>protocol-</w:t>
      </w:r>
      <w:r w:rsidRPr="00225EDE">
        <w:rPr>
          <w:rFonts w:ascii="Calibri" w:hAnsi="Calibri" w:cs="Calibri"/>
          <w:sz w:val="22"/>
          <w:szCs w:val="22"/>
        </w:rPr>
        <w:t xml:space="preserve">required </w:t>
      </w:r>
      <w:r>
        <w:rPr>
          <w:rFonts w:ascii="Calibri" w:hAnsi="Calibri" w:cs="Calibri"/>
          <w:sz w:val="22"/>
          <w:szCs w:val="22"/>
        </w:rPr>
        <w:t>activities/</w:t>
      </w:r>
      <w:r w:rsidRPr="00225EDE">
        <w:rPr>
          <w:rFonts w:ascii="Calibri" w:hAnsi="Calibri" w:cs="Calibri"/>
          <w:sz w:val="22"/>
          <w:szCs w:val="22"/>
        </w:rPr>
        <w:t xml:space="preserve">deliverables and questions regarding the potential supplier/vendor's </w:t>
      </w:r>
      <w:r w:rsidRPr="00225EDE">
        <w:rPr>
          <w:rFonts w:ascii="Calibri" w:hAnsi="Calibri" w:cs="Calibri"/>
          <w:bCs/>
          <w:sz w:val="22"/>
          <w:szCs w:val="22"/>
        </w:rPr>
        <w:t>scope of work, experience, certification and/or accreditation</w:t>
      </w:r>
      <w:r>
        <w:rPr>
          <w:rFonts w:ascii="Calibri" w:hAnsi="Calibri" w:cs="Calibri"/>
          <w:bCs/>
          <w:sz w:val="22"/>
          <w:szCs w:val="22"/>
        </w:rPr>
        <w:t xml:space="preserve"> according to applicable regulatory requirements</w:t>
      </w:r>
      <w:r w:rsidRPr="00225EDE">
        <w:rPr>
          <w:rFonts w:ascii="Calibri" w:hAnsi="Calibri" w:cs="Calibri"/>
          <w:sz w:val="22"/>
          <w:szCs w:val="22"/>
        </w:rPr>
        <w:t>.</w:t>
      </w:r>
      <w:r>
        <w:rPr>
          <w:rFonts w:ascii="Calibri" w:hAnsi="Calibri" w:cs="Calibri"/>
          <w:sz w:val="22"/>
          <w:szCs w:val="22"/>
        </w:rPr>
        <w:t xml:space="preserve"> </w:t>
      </w:r>
    </w:p>
    <w:p w:rsidR="00DE4BE3" w:rsidRPr="00227061" w:rsidRDefault="00DE4BE3" w:rsidP="00DE4BE3">
      <w:pPr>
        <w:numPr>
          <w:ilvl w:val="3"/>
          <w:numId w:val="1"/>
        </w:numPr>
        <w:spacing w:line="360" w:lineRule="auto"/>
        <w:jc w:val="both"/>
        <w:rPr>
          <w:rFonts w:ascii="Calibri" w:hAnsi="Calibri" w:cs="Calibri"/>
          <w:bCs/>
          <w:sz w:val="22"/>
          <w:szCs w:val="22"/>
        </w:rPr>
      </w:pPr>
      <w:r>
        <w:rPr>
          <w:rFonts w:ascii="Calibri" w:hAnsi="Calibri" w:cs="Calibri"/>
          <w:sz w:val="22"/>
          <w:szCs w:val="22"/>
        </w:rPr>
        <w:t xml:space="preserve">For a laboratory, this will include practical considerations such as location, test time logistics, availability of tests (and acceptability of reference ranges), accreditation with SANAS (or alternative quality assurance provisions), sample collection and shipment logistics, reporting (including electronic uploads if relevant) and financial aspects in relation to the available budget. </w:t>
      </w:r>
    </w:p>
    <w:p w:rsidR="00DE4BE3" w:rsidRPr="00225EDE" w:rsidRDefault="00DE4BE3" w:rsidP="00DE4BE3">
      <w:pPr>
        <w:numPr>
          <w:ilvl w:val="3"/>
          <w:numId w:val="1"/>
        </w:numPr>
        <w:spacing w:line="360" w:lineRule="auto"/>
        <w:jc w:val="both"/>
        <w:rPr>
          <w:rFonts w:ascii="Calibri" w:hAnsi="Calibri" w:cs="Calibri"/>
          <w:bCs/>
          <w:sz w:val="22"/>
          <w:szCs w:val="22"/>
        </w:rPr>
      </w:pPr>
      <w:r>
        <w:rPr>
          <w:rFonts w:ascii="Calibri" w:hAnsi="Calibri" w:cs="Calibri"/>
          <w:sz w:val="22"/>
          <w:szCs w:val="22"/>
        </w:rPr>
        <w:t>For a catering company this will include practical considerations such as location, availability of required menu (and ability to adhere to protocol requirements), delivery and collection logistics, supply of catering equipment and staff as required. In addition, applicable certification (e.g. as regards food quality, Halaal) and financial aspects in relation to the available budget.</w:t>
      </w:r>
    </w:p>
    <w:p w:rsidR="00DE4BE3" w:rsidRDefault="00DE4BE3" w:rsidP="00DE4BE3">
      <w:pPr>
        <w:numPr>
          <w:ilvl w:val="1"/>
          <w:numId w:val="1"/>
        </w:numPr>
        <w:spacing w:line="360" w:lineRule="auto"/>
        <w:ind w:left="1152"/>
        <w:jc w:val="both"/>
        <w:rPr>
          <w:rFonts w:ascii="Calibri" w:hAnsi="Calibri" w:cs="Calibri"/>
          <w:bCs/>
          <w:sz w:val="22"/>
          <w:szCs w:val="22"/>
        </w:rPr>
      </w:pPr>
      <w:r>
        <w:rPr>
          <w:rFonts w:ascii="Calibri" w:hAnsi="Calibri" w:cs="Calibri"/>
          <w:bCs/>
          <w:sz w:val="22"/>
          <w:szCs w:val="22"/>
        </w:rPr>
        <w:t>The site must not send any information about the trial to the potential supplier/vendor until a confidentiality disclosure agreement (CDA), or equivalent, is signed by both parties. However, anonymised information may be sent prior to such an agreement with the sponsor's permission. External service providers/vendors may provide their own mutual CDA for submission to the UCT Contracts Office or the Contracts Office may provide a generic template for review/comment by the potential supplier/vendor. Internal suppliers/vendors (e.g. specialists) may use the template [group]  CDA (AD09.1).</w:t>
      </w:r>
    </w:p>
    <w:p w:rsidR="00DE4BE3" w:rsidRDefault="00DE4BE3" w:rsidP="00DE4BE3">
      <w:pPr>
        <w:spacing w:line="360" w:lineRule="auto"/>
        <w:jc w:val="both"/>
        <w:rPr>
          <w:rFonts w:ascii="Calibri" w:hAnsi="Calibri" w:cs="Calibri"/>
          <w:b/>
          <w:bCs/>
          <w:sz w:val="22"/>
          <w:szCs w:val="22"/>
        </w:rPr>
      </w:pPr>
    </w:p>
    <w:p w:rsidR="00DE4BE3" w:rsidRPr="004010E6" w:rsidRDefault="00DE4BE3" w:rsidP="00DE4BE3">
      <w:pPr>
        <w:spacing w:line="360" w:lineRule="auto"/>
        <w:jc w:val="both"/>
        <w:rPr>
          <w:rFonts w:ascii="Calibri" w:hAnsi="Calibri" w:cs="Calibri"/>
          <w:b/>
          <w:bCs/>
          <w:sz w:val="22"/>
          <w:szCs w:val="22"/>
        </w:rPr>
      </w:pPr>
      <w:r>
        <w:rPr>
          <w:rFonts w:ascii="Calibri" w:hAnsi="Calibri" w:cs="Calibri"/>
          <w:b/>
          <w:bCs/>
          <w:sz w:val="22"/>
          <w:szCs w:val="22"/>
        </w:rPr>
        <w:t>Contracts</w:t>
      </w:r>
    </w:p>
    <w:p w:rsidR="00DE4BE3" w:rsidRDefault="00DE4BE3" w:rsidP="00DE4BE3">
      <w:pPr>
        <w:numPr>
          <w:ilvl w:val="1"/>
          <w:numId w:val="1"/>
        </w:numPr>
        <w:spacing w:line="360" w:lineRule="auto"/>
        <w:ind w:left="1152"/>
        <w:jc w:val="both"/>
        <w:rPr>
          <w:rFonts w:ascii="Calibri" w:hAnsi="Calibri" w:cs="Calibri"/>
          <w:bCs/>
          <w:sz w:val="22"/>
          <w:szCs w:val="22"/>
        </w:rPr>
      </w:pPr>
      <w:r>
        <w:rPr>
          <w:rFonts w:ascii="Calibri" w:hAnsi="Calibri" w:cs="Calibri"/>
          <w:bCs/>
          <w:sz w:val="22"/>
          <w:szCs w:val="22"/>
        </w:rPr>
        <w:t>The decision to engage the services of a supplier/vendor will be made based on the information gathered above, the quote for the work and practical considerations (e.g. location of laboratory, sample collection logistics, ease of reporting etc.).</w:t>
      </w:r>
    </w:p>
    <w:p w:rsidR="00DE4BE3" w:rsidRPr="004B3CA6" w:rsidRDefault="00DE4BE3" w:rsidP="00DE4BE3">
      <w:pPr>
        <w:numPr>
          <w:ilvl w:val="1"/>
          <w:numId w:val="1"/>
        </w:numPr>
        <w:spacing w:line="360" w:lineRule="auto"/>
        <w:ind w:left="1152"/>
        <w:jc w:val="both"/>
        <w:rPr>
          <w:rFonts w:ascii="Calibri" w:hAnsi="Calibri" w:cs="Calibri"/>
          <w:bCs/>
          <w:sz w:val="22"/>
          <w:szCs w:val="22"/>
        </w:rPr>
      </w:pPr>
      <w:r>
        <w:rPr>
          <w:rFonts w:ascii="Calibri" w:hAnsi="Calibri" w:cs="Calibri"/>
          <w:bCs/>
          <w:sz w:val="22"/>
          <w:szCs w:val="22"/>
        </w:rPr>
        <w:t xml:space="preserve">A member of the site team will liaise with the UCT Contracts Office when engaging the services of external companies/personnel. </w:t>
      </w:r>
      <w:r w:rsidRPr="004B3CA6">
        <w:rPr>
          <w:rFonts w:ascii="Calibri" w:hAnsi="Calibri" w:cs="Calibri"/>
          <w:bCs/>
          <w:sz w:val="22"/>
          <w:szCs w:val="22"/>
        </w:rPr>
        <w:t>Arrangements with internal personnel and/or departments</w:t>
      </w:r>
      <w:r>
        <w:rPr>
          <w:rFonts w:ascii="Calibri" w:hAnsi="Calibri" w:cs="Calibri"/>
          <w:bCs/>
          <w:sz w:val="22"/>
          <w:szCs w:val="22"/>
        </w:rPr>
        <w:t>, however,</w:t>
      </w:r>
      <w:r w:rsidRPr="004B3CA6">
        <w:rPr>
          <w:rFonts w:ascii="Calibri" w:hAnsi="Calibri" w:cs="Calibri"/>
          <w:bCs/>
          <w:sz w:val="22"/>
          <w:szCs w:val="22"/>
        </w:rPr>
        <w:t xml:space="preserve"> may be directly with the Principal Investigator (PI, or designee).</w:t>
      </w:r>
    </w:p>
    <w:p w:rsidR="00DE4BE3" w:rsidRDefault="00DE4BE3" w:rsidP="00DE4BE3">
      <w:pPr>
        <w:numPr>
          <w:ilvl w:val="1"/>
          <w:numId w:val="1"/>
        </w:numPr>
        <w:spacing w:line="360" w:lineRule="auto"/>
        <w:ind w:left="1152"/>
        <w:jc w:val="both"/>
        <w:rPr>
          <w:rFonts w:ascii="Calibri" w:hAnsi="Calibri" w:cs="Calibri"/>
          <w:bCs/>
          <w:sz w:val="22"/>
          <w:szCs w:val="22"/>
        </w:rPr>
      </w:pPr>
      <w:r>
        <w:rPr>
          <w:rFonts w:ascii="Calibri" w:hAnsi="Calibri" w:cs="Calibri"/>
          <w:bCs/>
          <w:sz w:val="22"/>
          <w:szCs w:val="22"/>
        </w:rPr>
        <w:t>In both cases there should be a clear written agreement between the parties as to issues such as the scope of the service/tasks, division or delegation of responsibilities, timelines for delivery, applicable standards, reporting and retention of records (or samples if relevant), payment terms, and indemnity/insurance issues.</w:t>
      </w:r>
    </w:p>
    <w:p w:rsidR="00DE4BE3" w:rsidRPr="00EC1666" w:rsidRDefault="00DE4BE3" w:rsidP="00DE4BE3">
      <w:pPr>
        <w:numPr>
          <w:ilvl w:val="1"/>
          <w:numId w:val="1"/>
        </w:numPr>
        <w:spacing w:line="360" w:lineRule="auto"/>
        <w:ind w:left="1152"/>
        <w:jc w:val="both"/>
        <w:rPr>
          <w:rFonts w:ascii="Calibri" w:hAnsi="Calibri" w:cs="Calibri"/>
          <w:bCs/>
          <w:sz w:val="22"/>
          <w:szCs w:val="22"/>
        </w:rPr>
      </w:pPr>
      <w:r>
        <w:rPr>
          <w:rFonts w:ascii="Calibri" w:hAnsi="Calibri" w:cs="Calibri"/>
          <w:bCs/>
          <w:sz w:val="22"/>
          <w:szCs w:val="22"/>
        </w:rPr>
        <w:t>A copy of the signed contract and any subsequent amendments will be filed in the Investigator Site File.</w:t>
      </w:r>
    </w:p>
    <w:p w:rsidR="00DE4BE3" w:rsidRDefault="00DE4BE3" w:rsidP="00DE4BE3">
      <w:pPr>
        <w:spacing w:line="360" w:lineRule="auto"/>
        <w:jc w:val="both"/>
        <w:rPr>
          <w:rFonts w:ascii="Calibri" w:hAnsi="Calibri" w:cs="Calibri"/>
          <w:bCs/>
          <w:sz w:val="22"/>
          <w:szCs w:val="22"/>
        </w:rPr>
      </w:pPr>
    </w:p>
    <w:p w:rsidR="00DE4BE3" w:rsidRPr="002A082D" w:rsidRDefault="00DE4BE3" w:rsidP="00DE4BE3">
      <w:pPr>
        <w:spacing w:line="360" w:lineRule="auto"/>
        <w:jc w:val="both"/>
        <w:rPr>
          <w:rFonts w:ascii="Calibri" w:hAnsi="Calibri" w:cs="Calibri"/>
          <w:b/>
          <w:bCs/>
          <w:sz w:val="22"/>
          <w:szCs w:val="22"/>
        </w:rPr>
      </w:pPr>
      <w:r>
        <w:rPr>
          <w:rFonts w:ascii="Calibri" w:hAnsi="Calibri" w:cs="Calibri"/>
          <w:b/>
          <w:bCs/>
          <w:sz w:val="22"/>
          <w:szCs w:val="22"/>
        </w:rPr>
        <w:t>Oversight/m</w:t>
      </w:r>
      <w:r w:rsidRPr="002A082D">
        <w:rPr>
          <w:rFonts w:ascii="Calibri" w:hAnsi="Calibri" w:cs="Calibri"/>
          <w:b/>
          <w:bCs/>
          <w:sz w:val="22"/>
          <w:szCs w:val="22"/>
        </w:rPr>
        <w:t>anagement</w:t>
      </w:r>
    </w:p>
    <w:p w:rsidR="00DE4BE3" w:rsidRDefault="00DE4BE3" w:rsidP="00DE4BE3">
      <w:pPr>
        <w:numPr>
          <w:ilvl w:val="1"/>
          <w:numId w:val="1"/>
        </w:numPr>
        <w:spacing w:line="360" w:lineRule="auto"/>
        <w:ind w:left="1152"/>
        <w:jc w:val="both"/>
        <w:rPr>
          <w:rFonts w:ascii="Calibri" w:hAnsi="Calibri" w:cs="Calibri"/>
          <w:bCs/>
          <w:sz w:val="22"/>
          <w:szCs w:val="22"/>
        </w:rPr>
      </w:pPr>
      <w:r>
        <w:rPr>
          <w:rFonts w:ascii="Calibri" w:hAnsi="Calibri" w:cs="Calibri"/>
          <w:bCs/>
          <w:sz w:val="22"/>
          <w:szCs w:val="22"/>
        </w:rPr>
        <w:t xml:space="preserve">A member of the site team with appropriate qualification and/or experience is assigned responsibility to monitor the services provided by the contracted party and report as necessary to the PI any deviations from the agreement. Such issues will be raised with the service provider/vendor at the earliest opportunity and appropriate steps taken to assure compliance. Full documentation is required for the trial records. </w:t>
      </w:r>
    </w:p>
    <w:p w:rsidR="00DE4BE3" w:rsidRDefault="00DE4BE3" w:rsidP="00DE4BE3">
      <w:pPr>
        <w:numPr>
          <w:ilvl w:val="1"/>
          <w:numId w:val="1"/>
        </w:numPr>
        <w:spacing w:line="360" w:lineRule="auto"/>
        <w:ind w:left="1152"/>
        <w:jc w:val="both"/>
        <w:rPr>
          <w:rFonts w:ascii="Calibri" w:hAnsi="Calibri" w:cs="Calibri"/>
          <w:bCs/>
          <w:sz w:val="22"/>
          <w:szCs w:val="22"/>
        </w:rPr>
      </w:pPr>
      <w:r>
        <w:rPr>
          <w:rFonts w:ascii="Calibri" w:hAnsi="Calibri" w:cs="Calibri"/>
          <w:bCs/>
          <w:sz w:val="22"/>
          <w:szCs w:val="22"/>
        </w:rPr>
        <w:t xml:space="preserve">Deviations will also be reported to other appropriate parties according to their requirements (e.g. sponsor, ethics committee and/or Medicines Control Council). </w:t>
      </w:r>
    </w:p>
    <w:p w:rsidR="00DE4BE3" w:rsidRDefault="00DE4BE3" w:rsidP="00DE4BE3">
      <w:pPr>
        <w:numPr>
          <w:ilvl w:val="1"/>
          <w:numId w:val="1"/>
        </w:numPr>
        <w:spacing w:line="360" w:lineRule="auto"/>
        <w:ind w:left="1152"/>
        <w:jc w:val="both"/>
        <w:rPr>
          <w:rFonts w:ascii="Calibri" w:hAnsi="Calibri" w:cs="Calibri"/>
          <w:bCs/>
          <w:sz w:val="22"/>
          <w:szCs w:val="22"/>
        </w:rPr>
      </w:pPr>
      <w:r>
        <w:rPr>
          <w:rFonts w:ascii="Calibri" w:hAnsi="Calibri" w:cs="Calibri"/>
          <w:bCs/>
          <w:sz w:val="22"/>
          <w:szCs w:val="22"/>
        </w:rPr>
        <w:t>Serious breaches may require termination of the contract and/or a claim for financial compensation. The latter will be discussed with the UCT Contracts Office before any action is taken.</w:t>
      </w:r>
    </w:p>
    <w:p w:rsidR="00DE4BE3" w:rsidRDefault="00DE4BE3" w:rsidP="00DE4BE3">
      <w:pPr>
        <w:numPr>
          <w:ilvl w:val="1"/>
          <w:numId w:val="1"/>
        </w:numPr>
        <w:spacing w:line="360" w:lineRule="auto"/>
        <w:ind w:left="1152"/>
        <w:jc w:val="both"/>
        <w:rPr>
          <w:rFonts w:ascii="Calibri" w:hAnsi="Calibri" w:cs="Calibri"/>
          <w:bCs/>
          <w:sz w:val="22"/>
          <w:szCs w:val="22"/>
        </w:rPr>
      </w:pPr>
      <w:r>
        <w:rPr>
          <w:rFonts w:ascii="Calibri" w:hAnsi="Calibri" w:cs="Calibri"/>
          <w:bCs/>
          <w:sz w:val="22"/>
          <w:szCs w:val="22"/>
        </w:rPr>
        <w:t>Payments are facilitated according to the contract through the relevant Finance Office.</w:t>
      </w:r>
    </w:p>
    <w:p w:rsidR="00DE4BE3" w:rsidRPr="009A248D" w:rsidRDefault="00DE4BE3" w:rsidP="00DE4BE3">
      <w:pPr>
        <w:spacing w:line="360" w:lineRule="auto"/>
        <w:jc w:val="both"/>
        <w:rPr>
          <w:rFonts w:ascii="Calibri" w:hAnsi="Calibri" w:cs="Calibri"/>
          <w:b/>
          <w:bCs/>
          <w:sz w:val="22"/>
          <w:szCs w:val="22"/>
        </w:rPr>
      </w:pPr>
    </w:p>
    <w:p w:rsidR="00DE4BE3" w:rsidRPr="00465596" w:rsidRDefault="00DE4BE3" w:rsidP="00DE4BE3">
      <w:pPr>
        <w:numPr>
          <w:ilvl w:val="0"/>
          <w:numId w:val="1"/>
        </w:numPr>
        <w:spacing w:line="360" w:lineRule="auto"/>
        <w:jc w:val="both"/>
        <w:rPr>
          <w:rFonts w:ascii="Calibri" w:hAnsi="Calibri" w:cs="Calibri"/>
          <w:b/>
          <w:bCs/>
          <w:sz w:val="22"/>
          <w:szCs w:val="22"/>
        </w:rPr>
      </w:pPr>
      <w:r w:rsidRPr="00465596">
        <w:rPr>
          <w:rFonts w:ascii="Calibri" w:hAnsi="Calibri" w:cs="Calibri"/>
          <w:b/>
          <w:bCs/>
        </w:rPr>
        <w:t>Document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45"/>
        <w:gridCol w:w="919"/>
        <w:gridCol w:w="5897"/>
      </w:tblGrid>
      <w:tr w:rsidR="00DE4BE3" w:rsidRPr="002867AA" w:rsidTr="00646543">
        <w:tc>
          <w:tcPr>
            <w:tcW w:w="1074" w:type="dxa"/>
          </w:tcPr>
          <w:p w:rsidR="00DE4BE3" w:rsidRPr="007719C9" w:rsidRDefault="00DE4BE3" w:rsidP="00646543">
            <w:pPr>
              <w:pStyle w:val="ListParagraph"/>
              <w:spacing w:line="360" w:lineRule="auto"/>
              <w:ind w:left="0"/>
              <w:rPr>
                <w:rFonts w:ascii="Calibri" w:hAnsi="Calibri" w:cs="Calibri"/>
                <w:b/>
                <w:sz w:val="16"/>
                <w:szCs w:val="16"/>
              </w:rPr>
            </w:pPr>
            <w:r w:rsidRPr="007719C9">
              <w:rPr>
                <w:rFonts w:ascii="Calibri" w:hAnsi="Calibri" w:cs="Calibri"/>
                <w:b/>
                <w:sz w:val="16"/>
                <w:szCs w:val="16"/>
              </w:rPr>
              <w:t>Version No.</w:t>
            </w:r>
          </w:p>
        </w:tc>
        <w:tc>
          <w:tcPr>
            <w:tcW w:w="845" w:type="dxa"/>
          </w:tcPr>
          <w:p w:rsidR="00DE4BE3" w:rsidRPr="007719C9" w:rsidRDefault="00DE4BE3" w:rsidP="00646543">
            <w:pPr>
              <w:pStyle w:val="ListParagraph"/>
              <w:spacing w:line="360" w:lineRule="auto"/>
              <w:ind w:left="0"/>
              <w:rPr>
                <w:rFonts w:ascii="Calibri" w:hAnsi="Calibri" w:cs="Calibri"/>
                <w:b/>
                <w:sz w:val="16"/>
                <w:szCs w:val="16"/>
              </w:rPr>
            </w:pPr>
            <w:r w:rsidRPr="007719C9">
              <w:rPr>
                <w:rFonts w:ascii="Calibri" w:hAnsi="Calibri" w:cs="Calibri"/>
                <w:b/>
                <w:sz w:val="16"/>
                <w:szCs w:val="16"/>
              </w:rPr>
              <w:t>Date</w:t>
            </w:r>
          </w:p>
        </w:tc>
        <w:tc>
          <w:tcPr>
            <w:tcW w:w="919" w:type="dxa"/>
          </w:tcPr>
          <w:p w:rsidR="00DE4BE3" w:rsidRPr="007719C9" w:rsidRDefault="00DE4BE3" w:rsidP="00646543">
            <w:pPr>
              <w:pStyle w:val="ListParagraph"/>
              <w:spacing w:line="360" w:lineRule="auto"/>
              <w:ind w:left="0"/>
              <w:rPr>
                <w:rFonts w:ascii="Calibri" w:hAnsi="Calibri" w:cs="Calibri"/>
                <w:b/>
                <w:sz w:val="16"/>
                <w:szCs w:val="16"/>
              </w:rPr>
            </w:pPr>
            <w:r w:rsidRPr="007719C9">
              <w:rPr>
                <w:rFonts w:ascii="Calibri" w:hAnsi="Calibri" w:cs="Calibri"/>
                <w:b/>
                <w:sz w:val="16"/>
                <w:szCs w:val="16"/>
              </w:rPr>
              <w:t>Reviewer</w:t>
            </w:r>
          </w:p>
        </w:tc>
        <w:tc>
          <w:tcPr>
            <w:tcW w:w="5897" w:type="dxa"/>
          </w:tcPr>
          <w:p w:rsidR="00DE4BE3" w:rsidRPr="007719C9" w:rsidRDefault="00DE4BE3" w:rsidP="00646543">
            <w:pPr>
              <w:pStyle w:val="ListParagraph"/>
              <w:spacing w:line="360" w:lineRule="auto"/>
              <w:ind w:left="0"/>
              <w:rPr>
                <w:rFonts w:ascii="Calibri" w:hAnsi="Calibri" w:cs="Calibri"/>
                <w:b/>
                <w:sz w:val="16"/>
                <w:szCs w:val="16"/>
              </w:rPr>
            </w:pPr>
            <w:r w:rsidRPr="007719C9">
              <w:rPr>
                <w:rFonts w:ascii="Calibri" w:hAnsi="Calibri" w:cs="Calibri"/>
                <w:b/>
                <w:sz w:val="16"/>
                <w:szCs w:val="16"/>
              </w:rPr>
              <w:t>Details</w:t>
            </w:r>
            <w:r>
              <w:rPr>
                <w:rFonts w:ascii="Calibri" w:hAnsi="Calibri" w:cs="Calibri"/>
                <w:b/>
                <w:sz w:val="16"/>
                <w:szCs w:val="16"/>
              </w:rPr>
              <w:t xml:space="preserve"> of changes</w:t>
            </w:r>
          </w:p>
        </w:tc>
      </w:tr>
      <w:tr w:rsidR="00DE4BE3" w:rsidRPr="002867AA" w:rsidTr="00646543">
        <w:tc>
          <w:tcPr>
            <w:tcW w:w="1074" w:type="dxa"/>
          </w:tcPr>
          <w:p w:rsidR="00DE4BE3" w:rsidRPr="007719C9" w:rsidRDefault="00DE4BE3" w:rsidP="00646543">
            <w:pPr>
              <w:pStyle w:val="ListParagraph"/>
              <w:spacing w:line="360" w:lineRule="auto"/>
              <w:ind w:left="0"/>
              <w:jc w:val="center"/>
              <w:rPr>
                <w:rFonts w:ascii="Calibri" w:hAnsi="Calibri" w:cs="Calibri"/>
                <w:sz w:val="16"/>
                <w:szCs w:val="16"/>
              </w:rPr>
            </w:pPr>
            <w:r>
              <w:rPr>
                <w:rFonts w:ascii="Calibri" w:hAnsi="Calibri" w:cs="Calibri"/>
                <w:sz w:val="16"/>
                <w:szCs w:val="16"/>
              </w:rPr>
              <w:t>1</w:t>
            </w:r>
          </w:p>
        </w:tc>
        <w:tc>
          <w:tcPr>
            <w:tcW w:w="845" w:type="dxa"/>
          </w:tcPr>
          <w:p w:rsidR="00DE4BE3" w:rsidRPr="00CF5AC5" w:rsidRDefault="00DE4BE3" w:rsidP="00646543">
            <w:pPr>
              <w:pStyle w:val="ListParagraph"/>
              <w:spacing w:line="360" w:lineRule="auto"/>
              <w:ind w:left="0"/>
              <w:rPr>
                <w:rFonts w:ascii="Calibri" w:hAnsi="Calibri" w:cs="Calibri"/>
                <w:color w:val="FF0000"/>
                <w:sz w:val="16"/>
                <w:szCs w:val="16"/>
              </w:rPr>
            </w:pPr>
            <w:r w:rsidRPr="00CF5AC5">
              <w:rPr>
                <w:rFonts w:ascii="Calibri" w:hAnsi="Calibri" w:cs="Calibri"/>
                <w:color w:val="FF0000"/>
                <w:sz w:val="16"/>
                <w:szCs w:val="16"/>
              </w:rPr>
              <w:t>add</w:t>
            </w:r>
          </w:p>
        </w:tc>
        <w:tc>
          <w:tcPr>
            <w:tcW w:w="919" w:type="dxa"/>
          </w:tcPr>
          <w:p w:rsidR="00DE4BE3" w:rsidRPr="007719C9" w:rsidRDefault="00DE4BE3" w:rsidP="00646543">
            <w:pPr>
              <w:pStyle w:val="ListParagraph"/>
              <w:spacing w:line="360" w:lineRule="auto"/>
              <w:ind w:left="0"/>
              <w:rPr>
                <w:rFonts w:ascii="Calibri" w:hAnsi="Calibri" w:cs="Calibri"/>
                <w:sz w:val="16"/>
                <w:szCs w:val="16"/>
              </w:rPr>
            </w:pPr>
            <w:r>
              <w:rPr>
                <w:rFonts w:ascii="Calibri" w:hAnsi="Calibri" w:cs="Calibri"/>
                <w:sz w:val="16"/>
                <w:szCs w:val="16"/>
              </w:rPr>
              <w:t>NA</w:t>
            </w:r>
          </w:p>
        </w:tc>
        <w:tc>
          <w:tcPr>
            <w:tcW w:w="5897" w:type="dxa"/>
          </w:tcPr>
          <w:p w:rsidR="00DE4BE3" w:rsidRPr="007719C9" w:rsidRDefault="00DE4BE3" w:rsidP="00646543">
            <w:pPr>
              <w:pStyle w:val="ListParagraph"/>
              <w:spacing w:line="360" w:lineRule="auto"/>
              <w:ind w:left="0"/>
              <w:rPr>
                <w:rFonts w:ascii="Calibri" w:hAnsi="Calibri" w:cs="Calibri"/>
                <w:sz w:val="16"/>
                <w:szCs w:val="16"/>
              </w:rPr>
            </w:pPr>
            <w:r>
              <w:rPr>
                <w:rFonts w:ascii="Calibri" w:hAnsi="Calibri" w:cs="Calibri"/>
                <w:sz w:val="16"/>
                <w:szCs w:val="16"/>
              </w:rPr>
              <w:t>NA - first version of SOP</w:t>
            </w:r>
          </w:p>
        </w:tc>
      </w:tr>
    </w:tbl>
    <w:p w:rsidR="00DE4BE3" w:rsidRPr="005930AF" w:rsidRDefault="00DE4BE3" w:rsidP="00DE4BE3">
      <w:pPr>
        <w:spacing w:line="360" w:lineRule="auto"/>
        <w:jc w:val="both"/>
        <w:rPr>
          <w:rFonts w:ascii="Calibri" w:hAnsi="Calibri" w:cs="Calibri"/>
          <w:b/>
          <w:bCs/>
          <w:color w:val="FF0000"/>
          <w:sz w:val="22"/>
          <w:szCs w:val="22"/>
        </w:rPr>
      </w:pPr>
    </w:p>
    <w:p w:rsidR="00477D1E" w:rsidRDefault="00EC0759"/>
    <w:sectPr w:rsidR="00477D1E" w:rsidSect="001A76D2">
      <w:headerReference w:type="even" r:id="rId9"/>
      <w:headerReference w:type="default" r:id="rId10"/>
      <w:footerReference w:type="even" r:id="rId11"/>
      <w:footerReference w:type="default" r:id="rId12"/>
      <w:pgSz w:w="11906" w:h="16838"/>
      <w:pgMar w:top="899" w:right="746" w:bottom="1276" w:left="1134" w:header="708" w:footer="10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59" w:rsidRDefault="00EC0759" w:rsidP="00DE4BE3">
      <w:r>
        <w:separator/>
      </w:r>
    </w:p>
  </w:endnote>
  <w:endnote w:type="continuationSeparator" w:id="0">
    <w:p w:rsidR="00EC0759" w:rsidRDefault="00EC0759" w:rsidP="00DE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EC0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EC0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E3" w:rsidRDefault="00DE4BE3" w:rsidP="00DE4BE3">
    <w:pPr>
      <w:pStyle w:val="Footer"/>
      <w:rPr>
        <w:noProof/>
        <w:lang w:eastAsia="en-GB"/>
      </w:rPr>
    </w:pPr>
    <w:r>
      <w:rPr>
        <w:noProof/>
        <w:lang w:eastAsia="en-GB"/>
      </w:rPr>
      <mc:AlternateContent>
        <mc:Choice Requires="wps">
          <w:drawing>
            <wp:anchor distT="0" distB="0" distL="114300" distR="114300" simplePos="0" relativeHeight="251661312" behindDoc="0" locked="0" layoutInCell="1" allowOverlap="1" wp14:anchorId="0B07B502" wp14:editId="41B7B66A">
              <wp:simplePos x="0" y="0"/>
              <wp:positionH relativeFrom="column">
                <wp:posOffset>2237740</wp:posOffset>
              </wp:positionH>
              <wp:positionV relativeFrom="paragraph">
                <wp:posOffset>365760</wp:posOffset>
              </wp:positionV>
              <wp:extent cx="4177665" cy="7620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7665" cy="762000"/>
                      </a:xfrm>
                      <a:prstGeom prst="rect">
                        <a:avLst/>
                      </a:prstGeom>
                      <a:noFill/>
                      <a:ln w="6350">
                        <a:noFill/>
                      </a:ln>
                      <a:effectLst/>
                    </wps:spPr>
                    <wps:txbx>
                      <w:txbxContent>
                        <w:p w:rsidR="00DE4BE3" w:rsidRPr="004837AC" w:rsidRDefault="00DE4BE3" w:rsidP="00DE4BE3">
                          <w:pPr>
                            <w:rPr>
                              <w:rFonts w:asciiTheme="minorHAnsi" w:hAnsiTheme="minorHAnsi"/>
                              <w:i/>
                              <w:sz w:val="20"/>
                              <w:szCs w:val="20"/>
                            </w:rPr>
                          </w:pPr>
                          <w:r w:rsidRPr="004837AC">
                            <w:rPr>
                              <w:rFonts w:asciiTheme="minorHAnsi" w:hAnsiTheme="minorHAnsi"/>
                              <w:i/>
                              <w:sz w:val="20"/>
                              <w:szCs w:val="20"/>
                            </w:rPr>
                            <w:t xml:space="preserve">This template has been freely provided by the MCRG of University of Cape Town, via The Global Health Network. Please reference The Global Health Network when you use it, and share your own materials in exchange. </w:t>
                          </w:r>
                          <w:hyperlink r:id="rId1" w:history="1">
                            <w:r w:rsidRPr="004837AC">
                              <w:rPr>
                                <w:rStyle w:val="Hyperlink"/>
                                <w:rFonts w:asciiTheme="minorHAnsi" w:hAnsiTheme="minorHAnsi"/>
                                <w:i/>
                                <w:sz w:val="20"/>
                                <w:szCs w:val="20"/>
                              </w:rPr>
                              <w:t>www.theglobalhealthnetwork.org</w:t>
                            </w:r>
                          </w:hyperlink>
                          <w:r w:rsidRPr="004837AC">
                            <w:rPr>
                              <w:rFonts w:asciiTheme="minorHAnsi" w:hAnsiTheme="minorHAnsi"/>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76.2pt;margin-top:28.8pt;width:328.9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" filled="f" stroked="f" strokeweight=".5pt">
              <v:path arrowok="t"/>
              <v:textbox>
                <w:txbxContent>
                  <w:p w:rsidR="00DE4BE3" w:rsidRPr="004837AC" w:rsidRDefault="00DE4BE3" w:rsidP="00DE4BE3">
                    <w:pPr>
                      <w:rPr>
                        <w:rFonts w:asciiTheme="minorHAnsi" w:hAnsiTheme="minorHAnsi"/>
                        <w:i/>
                        <w:sz w:val="20"/>
                        <w:szCs w:val="20"/>
                      </w:rPr>
                    </w:pPr>
                    <w:r w:rsidRPr="004837AC">
                      <w:rPr>
                        <w:rFonts w:asciiTheme="minorHAnsi" w:hAnsiTheme="minorHAnsi"/>
                        <w:i/>
                        <w:sz w:val="20"/>
                        <w:szCs w:val="20"/>
                      </w:rPr>
                      <w:t xml:space="preserve">This template has been freely provided by the MCRG of University of Cape Town, via The Global Health Network. Please reference The Global Health Network when you use it, and share your own materials in exchange. </w:t>
                    </w:r>
                    <w:hyperlink r:id="rId2" w:history="1">
                      <w:r w:rsidRPr="004837AC">
                        <w:rPr>
                          <w:rStyle w:val="Hyperlink"/>
                          <w:rFonts w:asciiTheme="minorHAnsi" w:hAnsiTheme="minorHAnsi"/>
                          <w:i/>
                          <w:sz w:val="20"/>
                          <w:szCs w:val="20"/>
                        </w:rPr>
                        <w:t>www.theglobalhealthnetwork.org</w:t>
                      </w:r>
                    </w:hyperlink>
                    <w:r w:rsidRPr="004837AC">
                      <w:rPr>
                        <w:rFonts w:asciiTheme="minorHAnsi" w:hAnsiTheme="minorHAnsi"/>
                        <w:i/>
                        <w:sz w:val="20"/>
                        <w:szCs w:val="20"/>
                      </w:rPr>
                      <w:t>.</w:t>
                    </w:r>
                  </w:p>
                </w:txbxContent>
              </v:textbox>
              <w10:wrap type="square"/>
            </v:shape>
          </w:pict>
        </mc:Fallback>
      </mc:AlternateContent>
    </w:r>
    <w:r>
      <w:rPr>
        <w:noProof/>
        <w:lang w:eastAsia="en-GB"/>
      </w:rPr>
      <w:drawing>
        <wp:inline distT="0" distB="0" distL="0" distR="0" wp14:anchorId="14CD77AE" wp14:editId="29751086">
          <wp:extent cx="1403985" cy="838200"/>
          <wp:effectExtent l="0" t="0" r="0" b="0"/>
          <wp:docPr id="2" name="Picture 2"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GHN-256x151p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3985" cy="83820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2336" behindDoc="0" locked="0" layoutInCell="1" allowOverlap="1" wp14:anchorId="2DCAA452" wp14:editId="520EAE1D">
              <wp:simplePos x="0" y="0"/>
              <wp:positionH relativeFrom="column">
                <wp:posOffset>3766820</wp:posOffset>
              </wp:positionH>
              <wp:positionV relativeFrom="paragraph">
                <wp:posOffset>8898255</wp:posOffset>
              </wp:positionV>
              <wp:extent cx="3659505" cy="8661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BE3" w:rsidRPr="0021768B" w:rsidRDefault="00DE4BE3" w:rsidP="00DE4BE3">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AtgJQ+hQIAABYFAAAOAAAAAAAAAAAAAAAAAC4CAABkcnMvZTJvRG9jLnhtbFBLAQItABQABgAI&#10;AAAAIQCl585G4QAAAA4BAAAPAAAAAAAAAAAAAAAAAN8EAABkcnMvZG93bnJldi54bWxQSwUGAAAA&#10;AAQABADzAAAA7QUAAAAA&#10;" stroked="f">
              <v:textbox>
                <w:txbxContent>
                  <w:p w:rsidR="00DE4BE3" w:rsidRPr="0021768B" w:rsidRDefault="00DE4BE3" w:rsidP="00DE4BE3">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83A5D96" wp14:editId="12250F2C">
              <wp:simplePos x="0" y="0"/>
              <wp:positionH relativeFrom="column">
                <wp:posOffset>3766820</wp:posOffset>
              </wp:positionH>
              <wp:positionV relativeFrom="paragraph">
                <wp:posOffset>8898255</wp:posOffset>
              </wp:positionV>
              <wp:extent cx="3659505" cy="8661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BE3" w:rsidRPr="0021768B" w:rsidRDefault="00DE4BE3" w:rsidP="00DE4BE3">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BG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e7DQRoYCAAAWBQAADgAAAAAAAAAAAAAAAAAuAgAAZHJzL2Uyb0RvYy54bWxQSwECLQAUAAYA&#10;CAAAACEApefORuEAAAAOAQAADwAAAAAAAAAAAAAAAADgBAAAZHJzL2Rvd25yZXYueG1sUEsFBgAA&#10;AAAEAAQA8wAAAO4FAAAAAA==&#10;" stroked="f">
              <v:textbox>
                <w:txbxContent>
                  <w:p w:rsidR="00DE4BE3" w:rsidRPr="0021768B" w:rsidRDefault="00DE4BE3" w:rsidP="00DE4BE3">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2C3CFFF" wp14:editId="1D0F2847">
              <wp:simplePos x="0" y="0"/>
              <wp:positionH relativeFrom="column">
                <wp:posOffset>3766820</wp:posOffset>
              </wp:positionH>
              <wp:positionV relativeFrom="paragraph">
                <wp:posOffset>8898255</wp:posOffset>
              </wp:positionV>
              <wp:extent cx="3659505" cy="8661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BE3" w:rsidRPr="0021768B" w:rsidRDefault="00DE4BE3" w:rsidP="00DE4BE3">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SaDsboYCAAAWBQAADgAAAAAAAAAAAAAAAAAuAgAAZHJzL2Uyb0RvYy54bWxQSwECLQAUAAYA&#10;CAAAACEApefORuEAAAAOAQAADwAAAAAAAAAAAAAAAADgBAAAZHJzL2Rvd25yZXYueG1sUEsFBgAA&#10;AAAEAAQA8wAAAO4FAAAAAA==&#10;" stroked="f">
              <v:textbox>
                <w:txbxContent>
                  <w:p w:rsidR="00DE4BE3" w:rsidRPr="0021768B" w:rsidRDefault="00DE4BE3" w:rsidP="00DE4BE3">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988FFEF" wp14:editId="47CF735A">
              <wp:simplePos x="0" y="0"/>
              <wp:positionH relativeFrom="column">
                <wp:posOffset>3766820</wp:posOffset>
              </wp:positionH>
              <wp:positionV relativeFrom="paragraph">
                <wp:posOffset>8898255</wp:posOffset>
              </wp:positionV>
              <wp:extent cx="3659505" cy="8661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BE3" w:rsidRPr="0021768B" w:rsidRDefault="00DE4BE3" w:rsidP="00DE4BE3">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96.6pt;margin-top:700.65pt;width:288.15pt;height: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" stroked="f">
              <v:textbox>
                <w:txbxContent>
                  <w:p w:rsidR="00DE4BE3" w:rsidRPr="0021768B" w:rsidRDefault="00DE4BE3" w:rsidP="00DE4BE3">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C892360" wp14:editId="341F185B">
              <wp:simplePos x="0" y="0"/>
              <wp:positionH relativeFrom="column">
                <wp:posOffset>3766820</wp:posOffset>
              </wp:positionH>
              <wp:positionV relativeFrom="paragraph">
                <wp:posOffset>8898255</wp:posOffset>
              </wp:positionV>
              <wp:extent cx="3659505" cy="8661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BE3" w:rsidRPr="0021768B" w:rsidRDefault="00DE4BE3" w:rsidP="00DE4BE3">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DE4BE3" w:rsidRPr="0021768B" w:rsidRDefault="00DE4BE3" w:rsidP="00DE4BE3">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3" w:history="1">
                      <w:r w:rsidRPr="0042505F">
                        <w:rPr>
                          <w:rStyle w:val="Hyperlink"/>
                          <w:i/>
                          <w:sz w:val="20"/>
                        </w:rPr>
                        <w:t>www.theglobalhealthnetwork.org</w:t>
                      </w:r>
                    </w:hyperlink>
                    <w:r>
                      <w:rPr>
                        <w:i/>
                        <w:sz w:val="20"/>
                      </w:rPr>
                      <w:t>.</w:t>
                    </w:r>
                  </w:p>
                </w:txbxContent>
              </v:textbox>
            </v:shape>
          </w:pict>
        </mc:Fallback>
      </mc:AlternateContent>
    </w:r>
  </w:p>
  <w:p w:rsidR="00FC3D31" w:rsidRPr="00DE4BE3" w:rsidRDefault="00DE4BE3" w:rsidP="00DE4BE3">
    <w:pPr>
      <w:pStyle w:val="Footer"/>
    </w:pPr>
    <w:r>
      <w:t xml:space="preserve">     Page </w:t>
    </w:r>
    <w:r>
      <w:rPr>
        <w:b/>
      </w:rPr>
      <w:fldChar w:fldCharType="begin"/>
    </w:r>
    <w:r>
      <w:rPr>
        <w:b/>
      </w:rPr>
      <w:instrText xml:space="preserve"> PAGE  \* Arabic  \* MERGEFORMAT </w:instrText>
    </w:r>
    <w:r>
      <w:rPr>
        <w:b/>
      </w:rPr>
      <w:fldChar w:fldCharType="separate"/>
    </w:r>
    <w:r w:rsidR="00EC0759">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C0759">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59" w:rsidRDefault="00EC0759" w:rsidP="00DE4BE3">
      <w:r>
        <w:separator/>
      </w:r>
    </w:p>
  </w:footnote>
  <w:footnote w:type="continuationSeparator" w:id="0">
    <w:p w:rsidR="00EC0759" w:rsidRDefault="00EC0759" w:rsidP="00DE4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EC07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D31" w:rsidRDefault="00EC07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DE4BE3" w:rsidRPr="00855CAF" w:rsidTr="00646543">
      <w:trPr>
        <w:trHeight w:val="699"/>
      </w:trPr>
      <w:tc>
        <w:tcPr>
          <w:tcW w:w="1668" w:type="dxa"/>
        </w:tcPr>
        <w:p w:rsidR="00DE4BE3" w:rsidRPr="00DE4BE3" w:rsidRDefault="00DE4BE3" w:rsidP="00646543">
          <w:pPr>
            <w:rPr>
              <w:rFonts w:asciiTheme="minorHAnsi" w:hAnsiTheme="minorHAnsi"/>
              <w:b/>
              <w:sz w:val="22"/>
              <w:szCs w:val="22"/>
            </w:rPr>
          </w:pPr>
          <w:r w:rsidRPr="00DE4BE3">
            <w:rPr>
              <w:rFonts w:asciiTheme="minorHAnsi" w:hAnsiTheme="minorHAnsi"/>
              <w:b/>
              <w:sz w:val="22"/>
              <w:szCs w:val="22"/>
            </w:rPr>
            <w:t>SOP TITLE:</w:t>
          </w:r>
        </w:p>
      </w:tc>
      <w:tc>
        <w:tcPr>
          <w:tcW w:w="7574" w:type="dxa"/>
        </w:tcPr>
        <w:p w:rsidR="00DE4BE3" w:rsidRPr="00DE4BE3" w:rsidRDefault="00DE4BE3" w:rsidP="00646543">
          <w:pPr>
            <w:rPr>
              <w:rFonts w:asciiTheme="minorHAnsi" w:hAnsiTheme="minorHAnsi"/>
              <w:b/>
              <w:sz w:val="22"/>
              <w:szCs w:val="22"/>
            </w:rPr>
          </w:pPr>
          <w:r w:rsidRPr="00DE4BE3">
            <w:rPr>
              <w:rFonts w:asciiTheme="minorHAnsi" w:hAnsiTheme="minorHAnsi"/>
              <w:b/>
              <w:sz w:val="22"/>
              <w:szCs w:val="22"/>
            </w:rPr>
            <w:t>Identifying Critical Suppliers</w:t>
          </w:r>
        </w:p>
      </w:tc>
    </w:tr>
    <w:tr w:rsidR="00DE4BE3" w:rsidRPr="00855CAF" w:rsidTr="00646543">
      <w:trPr>
        <w:trHeight w:val="252"/>
      </w:trPr>
      <w:tc>
        <w:tcPr>
          <w:tcW w:w="1668" w:type="dxa"/>
        </w:tcPr>
        <w:p w:rsidR="00DE4BE3" w:rsidRPr="00DE4BE3" w:rsidRDefault="00DE4BE3" w:rsidP="00646543">
          <w:pPr>
            <w:rPr>
              <w:rFonts w:asciiTheme="minorHAnsi" w:hAnsiTheme="minorHAnsi"/>
              <w:b/>
              <w:sz w:val="22"/>
              <w:szCs w:val="22"/>
            </w:rPr>
          </w:pPr>
          <w:r w:rsidRPr="00DE4BE3">
            <w:rPr>
              <w:rFonts w:asciiTheme="minorHAnsi" w:hAnsiTheme="minorHAnsi"/>
              <w:b/>
              <w:sz w:val="22"/>
              <w:szCs w:val="22"/>
            </w:rPr>
            <w:t>SOP Version No:</w:t>
          </w:r>
        </w:p>
      </w:tc>
      <w:tc>
        <w:tcPr>
          <w:tcW w:w="7574" w:type="dxa"/>
        </w:tcPr>
        <w:p w:rsidR="00DE4BE3" w:rsidRPr="00DE4BE3" w:rsidRDefault="00DE4BE3" w:rsidP="00646543">
          <w:pPr>
            <w:rPr>
              <w:rFonts w:asciiTheme="minorHAnsi" w:hAnsiTheme="minorHAnsi"/>
              <w:b/>
              <w:sz w:val="22"/>
              <w:szCs w:val="22"/>
            </w:rPr>
          </w:pPr>
          <w:r w:rsidRPr="00DE4BE3">
            <w:rPr>
              <w:rFonts w:asciiTheme="minorHAnsi" w:hAnsiTheme="minorHAnsi"/>
              <w:b/>
              <w:sz w:val="22"/>
              <w:szCs w:val="22"/>
            </w:rPr>
            <w:t xml:space="preserve"> 01</w:t>
          </w:r>
        </w:p>
      </w:tc>
    </w:tr>
    <w:tr w:rsidR="00DE4BE3" w:rsidRPr="00855CAF" w:rsidTr="00646543">
      <w:trPr>
        <w:trHeight w:val="252"/>
      </w:trPr>
      <w:tc>
        <w:tcPr>
          <w:tcW w:w="1668" w:type="dxa"/>
        </w:tcPr>
        <w:p w:rsidR="00DE4BE3" w:rsidRPr="00DE4BE3" w:rsidRDefault="00DE4BE3" w:rsidP="00646543">
          <w:pPr>
            <w:rPr>
              <w:rFonts w:asciiTheme="minorHAnsi" w:hAnsiTheme="minorHAnsi"/>
              <w:b/>
              <w:sz w:val="22"/>
              <w:szCs w:val="22"/>
            </w:rPr>
          </w:pPr>
          <w:r w:rsidRPr="00DE4BE3">
            <w:rPr>
              <w:rFonts w:asciiTheme="minorHAnsi" w:hAnsiTheme="minorHAnsi"/>
              <w:b/>
              <w:sz w:val="22"/>
              <w:szCs w:val="22"/>
            </w:rPr>
            <w:t>Date:</w:t>
          </w:r>
        </w:p>
      </w:tc>
      <w:tc>
        <w:tcPr>
          <w:tcW w:w="7574" w:type="dxa"/>
        </w:tcPr>
        <w:p w:rsidR="00DE4BE3" w:rsidRPr="00DE4BE3" w:rsidRDefault="00DE4BE3" w:rsidP="00646543">
          <w:pPr>
            <w:rPr>
              <w:rFonts w:asciiTheme="minorHAnsi" w:hAnsiTheme="minorHAnsi"/>
              <w:b/>
              <w:sz w:val="22"/>
              <w:szCs w:val="22"/>
            </w:rPr>
          </w:pPr>
        </w:p>
      </w:tc>
    </w:tr>
  </w:tbl>
  <w:p w:rsidR="00FC3D31" w:rsidRDefault="00EC0759" w:rsidP="00D926A7">
    <w:pPr>
      <w:pStyle w:val="Header"/>
      <w:tabs>
        <w:tab w:val="right" w:pos="9000"/>
      </w:tabs>
      <w:ind w:right="360"/>
      <w:rPr>
        <w:b/>
        <w:bCs/>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01E6"/>
    <w:multiLevelType w:val="multilevel"/>
    <w:tmpl w:val="85CC87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F52418D"/>
    <w:multiLevelType w:val="hybridMultilevel"/>
    <w:tmpl w:val="09B48B54"/>
    <w:lvl w:ilvl="0" w:tplc="1C090001">
      <w:start w:val="1"/>
      <w:numFmt w:val="bullet"/>
      <w:lvlText w:val=""/>
      <w:lvlJc w:val="left"/>
      <w:pPr>
        <w:ind w:left="1944" w:hanging="360"/>
      </w:pPr>
      <w:rPr>
        <w:rFonts w:ascii="Symbol" w:hAnsi="Symbol" w:hint="default"/>
      </w:rPr>
    </w:lvl>
    <w:lvl w:ilvl="1" w:tplc="1C090003" w:tentative="1">
      <w:start w:val="1"/>
      <w:numFmt w:val="bullet"/>
      <w:lvlText w:val="o"/>
      <w:lvlJc w:val="left"/>
      <w:pPr>
        <w:ind w:left="2664" w:hanging="360"/>
      </w:pPr>
      <w:rPr>
        <w:rFonts w:ascii="Courier New" w:hAnsi="Courier New" w:cs="Courier New" w:hint="default"/>
      </w:rPr>
    </w:lvl>
    <w:lvl w:ilvl="2" w:tplc="1C090005" w:tentative="1">
      <w:start w:val="1"/>
      <w:numFmt w:val="bullet"/>
      <w:lvlText w:val=""/>
      <w:lvlJc w:val="left"/>
      <w:pPr>
        <w:ind w:left="3384" w:hanging="360"/>
      </w:pPr>
      <w:rPr>
        <w:rFonts w:ascii="Wingdings" w:hAnsi="Wingdings" w:hint="default"/>
      </w:rPr>
    </w:lvl>
    <w:lvl w:ilvl="3" w:tplc="1C090001" w:tentative="1">
      <w:start w:val="1"/>
      <w:numFmt w:val="bullet"/>
      <w:lvlText w:val=""/>
      <w:lvlJc w:val="left"/>
      <w:pPr>
        <w:ind w:left="4104" w:hanging="360"/>
      </w:pPr>
      <w:rPr>
        <w:rFonts w:ascii="Symbol" w:hAnsi="Symbol" w:hint="default"/>
      </w:rPr>
    </w:lvl>
    <w:lvl w:ilvl="4" w:tplc="1C090003" w:tentative="1">
      <w:start w:val="1"/>
      <w:numFmt w:val="bullet"/>
      <w:lvlText w:val="o"/>
      <w:lvlJc w:val="left"/>
      <w:pPr>
        <w:ind w:left="4824" w:hanging="360"/>
      </w:pPr>
      <w:rPr>
        <w:rFonts w:ascii="Courier New" w:hAnsi="Courier New" w:cs="Courier New" w:hint="default"/>
      </w:rPr>
    </w:lvl>
    <w:lvl w:ilvl="5" w:tplc="1C090005" w:tentative="1">
      <w:start w:val="1"/>
      <w:numFmt w:val="bullet"/>
      <w:lvlText w:val=""/>
      <w:lvlJc w:val="left"/>
      <w:pPr>
        <w:ind w:left="5544" w:hanging="360"/>
      </w:pPr>
      <w:rPr>
        <w:rFonts w:ascii="Wingdings" w:hAnsi="Wingdings" w:hint="default"/>
      </w:rPr>
    </w:lvl>
    <w:lvl w:ilvl="6" w:tplc="1C090001" w:tentative="1">
      <w:start w:val="1"/>
      <w:numFmt w:val="bullet"/>
      <w:lvlText w:val=""/>
      <w:lvlJc w:val="left"/>
      <w:pPr>
        <w:ind w:left="6264" w:hanging="360"/>
      </w:pPr>
      <w:rPr>
        <w:rFonts w:ascii="Symbol" w:hAnsi="Symbol" w:hint="default"/>
      </w:rPr>
    </w:lvl>
    <w:lvl w:ilvl="7" w:tplc="1C090003" w:tentative="1">
      <w:start w:val="1"/>
      <w:numFmt w:val="bullet"/>
      <w:lvlText w:val="o"/>
      <w:lvlJc w:val="left"/>
      <w:pPr>
        <w:ind w:left="6984" w:hanging="360"/>
      </w:pPr>
      <w:rPr>
        <w:rFonts w:ascii="Courier New" w:hAnsi="Courier New" w:cs="Courier New" w:hint="default"/>
      </w:rPr>
    </w:lvl>
    <w:lvl w:ilvl="8" w:tplc="1C090005" w:tentative="1">
      <w:start w:val="1"/>
      <w:numFmt w:val="bullet"/>
      <w:lvlText w:val=""/>
      <w:lvlJc w:val="left"/>
      <w:pPr>
        <w:ind w:left="77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E3"/>
    <w:rsid w:val="00600DE8"/>
    <w:rsid w:val="00DE4BE3"/>
    <w:rsid w:val="00EA0C15"/>
    <w:rsid w:val="00EC0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E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DE4BE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DE4BE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4BE3"/>
    <w:pPr>
      <w:tabs>
        <w:tab w:val="center" w:pos="4153"/>
        <w:tab w:val="right" w:pos="8306"/>
      </w:tabs>
    </w:pPr>
  </w:style>
  <w:style w:type="character" w:customStyle="1" w:styleId="HeaderChar">
    <w:name w:val="Header Char"/>
    <w:basedOn w:val="DefaultParagraphFont"/>
    <w:link w:val="Header"/>
    <w:rsid w:val="00DE4BE3"/>
    <w:rPr>
      <w:rFonts w:ascii="Times New Roman" w:eastAsia="Times New Roman" w:hAnsi="Times New Roman" w:cs="Times New Roman"/>
      <w:sz w:val="24"/>
      <w:szCs w:val="24"/>
    </w:rPr>
  </w:style>
  <w:style w:type="paragraph" w:styleId="Footer">
    <w:name w:val="footer"/>
    <w:basedOn w:val="Normal"/>
    <w:link w:val="FooterChar"/>
    <w:uiPriority w:val="99"/>
    <w:rsid w:val="00DE4BE3"/>
    <w:pPr>
      <w:tabs>
        <w:tab w:val="center" w:pos="4153"/>
        <w:tab w:val="right" w:pos="8306"/>
      </w:tabs>
    </w:pPr>
  </w:style>
  <w:style w:type="character" w:customStyle="1" w:styleId="FooterChar">
    <w:name w:val="Footer Char"/>
    <w:basedOn w:val="DefaultParagraphFont"/>
    <w:link w:val="Footer"/>
    <w:uiPriority w:val="99"/>
    <w:rsid w:val="00DE4BE3"/>
    <w:rPr>
      <w:rFonts w:ascii="Times New Roman" w:eastAsia="Times New Roman" w:hAnsi="Times New Roman" w:cs="Times New Roman"/>
      <w:sz w:val="24"/>
      <w:szCs w:val="24"/>
    </w:rPr>
  </w:style>
  <w:style w:type="character" w:styleId="PageNumber">
    <w:name w:val="page number"/>
    <w:basedOn w:val="DefaultParagraphFont"/>
    <w:rsid w:val="00DE4BE3"/>
  </w:style>
  <w:style w:type="paragraph" w:styleId="ListParagraph">
    <w:name w:val="List Paragraph"/>
    <w:basedOn w:val="Normal"/>
    <w:uiPriority w:val="34"/>
    <w:qFormat/>
    <w:rsid w:val="00DE4BE3"/>
    <w:pPr>
      <w:ind w:left="720"/>
    </w:pPr>
  </w:style>
  <w:style w:type="character" w:styleId="Hyperlink">
    <w:name w:val="Hyperlink"/>
    <w:uiPriority w:val="99"/>
    <w:unhideWhenUsed/>
    <w:rsid w:val="00DE4BE3"/>
    <w:rPr>
      <w:color w:val="0000FF"/>
      <w:u w:val="single"/>
    </w:rPr>
  </w:style>
  <w:style w:type="paragraph" w:styleId="BalloonText">
    <w:name w:val="Balloon Text"/>
    <w:basedOn w:val="Normal"/>
    <w:link w:val="BalloonTextChar"/>
    <w:uiPriority w:val="99"/>
    <w:semiHidden/>
    <w:unhideWhenUsed/>
    <w:rsid w:val="00DE4BE3"/>
    <w:rPr>
      <w:rFonts w:ascii="Tahoma" w:hAnsi="Tahoma" w:cs="Tahoma"/>
      <w:sz w:val="16"/>
      <w:szCs w:val="16"/>
    </w:rPr>
  </w:style>
  <w:style w:type="character" w:customStyle="1" w:styleId="BalloonTextChar">
    <w:name w:val="Balloon Text Char"/>
    <w:basedOn w:val="DefaultParagraphFont"/>
    <w:link w:val="BalloonText"/>
    <w:uiPriority w:val="99"/>
    <w:semiHidden/>
    <w:rsid w:val="00DE4BE3"/>
    <w:rPr>
      <w:rFonts w:ascii="Tahoma" w:eastAsia="Times New Roman" w:hAnsi="Tahoma" w:cs="Tahoma"/>
      <w:sz w:val="16"/>
      <w:szCs w:val="16"/>
    </w:rPr>
  </w:style>
  <w:style w:type="table" w:styleId="TableGrid">
    <w:name w:val="Table Grid"/>
    <w:basedOn w:val="TableNormal"/>
    <w:uiPriority w:val="59"/>
    <w:rsid w:val="00DE4BE3"/>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semiHidden/>
    <w:rsid w:val="00DE4B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DE4BE3"/>
    <w:rPr>
      <w:rFonts w:eastAsiaTheme="minorEastAsia"/>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E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DE4BE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DE4BE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4BE3"/>
    <w:pPr>
      <w:tabs>
        <w:tab w:val="center" w:pos="4153"/>
        <w:tab w:val="right" w:pos="8306"/>
      </w:tabs>
    </w:pPr>
  </w:style>
  <w:style w:type="character" w:customStyle="1" w:styleId="HeaderChar">
    <w:name w:val="Header Char"/>
    <w:basedOn w:val="DefaultParagraphFont"/>
    <w:link w:val="Header"/>
    <w:rsid w:val="00DE4BE3"/>
    <w:rPr>
      <w:rFonts w:ascii="Times New Roman" w:eastAsia="Times New Roman" w:hAnsi="Times New Roman" w:cs="Times New Roman"/>
      <w:sz w:val="24"/>
      <w:szCs w:val="24"/>
    </w:rPr>
  </w:style>
  <w:style w:type="paragraph" w:styleId="Footer">
    <w:name w:val="footer"/>
    <w:basedOn w:val="Normal"/>
    <w:link w:val="FooterChar"/>
    <w:uiPriority w:val="99"/>
    <w:rsid w:val="00DE4BE3"/>
    <w:pPr>
      <w:tabs>
        <w:tab w:val="center" w:pos="4153"/>
        <w:tab w:val="right" w:pos="8306"/>
      </w:tabs>
    </w:pPr>
  </w:style>
  <w:style w:type="character" w:customStyle="1" w:styleId="FooterChar">
    <w:name w:val="Footer Char"/>
    <w:basedOn w:val="DefaultParagraphFont"/>
    <w:link w:val="Footer"/>
    <w:uiPriority w:val="99"/>
    <w:rsid w:val="00DE4BE3"/>
    <w:rPr>
      <w:rFonts w:ascii="Times New Roman" w:eastAsia="Times New Roman" w:hAnsi="Times New Roman" w:cs="Times New Roman"/>
      <w:sz w:val="24"/>
      <w:szCs w:val="24"/>
    </w:rPr>
  </w:style>
  <w:style w:type="character" w:styleId="PageNumber">
    <w:name w:val="page number"/>
    <w:basedOn w:val="DefaultParagraphFont"/>
    <w:rsid w:val="00DE4BE3"/>
  </w:style>
  <w:style w:type="paragraph" w:styleId="ListParagraph">
    <w:name w:val="List Paragraph"/>
    <w:basedOn w:val="Normal"/>
    <w:uiPriority w:val="34"/>
    <w:qFormat/>
    <w:rsid w:val="00DE4BE3"/>
    <w:pPr>
      <w:ind w:left="720"/>
    </w:pPr>
  </w:style>
  <w:style w:type="character" w:styleId="Hyperlink">
    <w:name w:val="Hyperlink"/>
    <w:uiPriority w:val="99"/>
    <w:unhideWhenUsed/>
    <w:rsid w:val="00DE4BE3"/>
    <w:rPr>
      <w:color w:val="0000FF"/>
      <w:u w:val="single"/>
    </w:rPr>
  </w:style>
  <w:style w:type="paragraph" w:styleId="BalloonText">
    <w:name w:val="Balloon Text"/>
    <w:basedOn w:val="Normal"/>
    <w:link w:val="BalloonTextChar"/>
    <w:uiPriority w:val="99"/>
    <w:semiHidden/>
    <w:unhideWhenUsed/>
    <w:rsid w:val="00DE4BE3"/>
    <w:rPr>
      <w:rFonts w:ascii="Tahoma" w:hAnsi="Tahoma" w:cs="Tahoma"/>
      <w:sz w:val="16"/>
      <w:szCs w:val="16"/>
    </w:rPr>
  </w:style>
  <w:style w:type="character" w:customStyle="1" w:styleId="BalloonTextChar">
    <w:name w:val="Balloon Text Char"/>
    <w:basedOn w:val="DefaultParagraphFont"/>
    <w:link w:val="BalloonText"/>
    <w:uiPriority w:val="99"/>
    <w:semiHidden/>
    <w:rsid w:val="00DE4BE3"/>
    <w:rPr>
      <w:rFonts w:ascii="Tahoma" w:eastAsia="Times New Roman" w:hAnsi="Tahoma" w:cs="Tahoma"/>
      <w:sz w:val="16"/>
      <w:szCs w:val="16"/>
    </w:rPr>
  </w:style>
  <w:style w:type="table" w:styleId="TableGrid">
    <w:name w:val="Table Grid"/>
    <w:basedOn w:val="TableNormal"/>
    <w:uiPriority w:val="59"/>
    <w:rsid w:val="00DE4BE3"/>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semiHidden/>
    <w:rsid w:val="00DE4B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DE4BE3"/>
    <w:rPr>
      <w:rFonts w:eastAsiaTheme="minorEastAs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hyperlink" Target="http://www.theglobalhealthnetwork.org" TargetMode="External"/><Relationship Id="rId3" Type="http://schemas.openxmlformats.org/officeDocument/2006/relationships/image" Target="media/image1.png"/><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2015-08-18T12:59:00Z</dcterms:created>
  <dcterms:modified xsi:type="dcterms:W3CDTF">2015-08-18T13:08:00Z</dcterms:modified>
</cp:coreProperties>
</file>