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81" w:rsidRDefault="00E73481" w:rsidP="00E73481"/>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986312"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86312" w:rsidRPr="00897F3E" w:rsidRDefault="00986312" w:rsidP="00E50A7F">
            <w:pPr>
              <w:rPr>
                <w:rFonts w:asciiTheme="minorHAnsi" w:hAnsiTheme="minorHAnsi"/>
                <w:b/>
                <w:sz w:val="22"/>
                <w:szCs w:val="22"/>
              </w:rPr>
            </w:pPr>
          </w:p>
          <w:p w:rsidR="00986312" w:rsidRPr="00897F3E" w:rsidRDefault="00986312"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117F4BF8" wp14:editId="5B921E11">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86312" w:rsidRPr="00897F3E" w:rsidRDefault="00986312"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86312" w:rsidRPr="00897F3E" w:rsidRDefault="00986312" w:rsidP="00E50A7F">
            <w:pPr>
              <w:rPr>
                <w:rFonts w:asciiTheme="minorHAnsi" w:hAnsiTheme="minorHAnsi"/>
                <w:b/>
                <w:sz w:val="22"/>
                <w:szCs w:val="22"/>
              </w:rPr>
            </w:pPr>
          </w:p>
          <w:p w:rsidR="00986312" w:rsidRPr="00897F3E" w:rsidRDefault="00986312" w:rsidP="00E50A7F">
            <w:pPr>
              <w:rPr>
                <w:rFonts w:asciiTheme="minorHAnsi" w:hAnsiTheme="minorHAnsi"/>
                <w:b/>
                <w:sz w:val="22"/>
                <w:szCs w:val="22"/>
              </w:rPr>
            </w:pPr>
            <w:r w:rsidRPr="00897F3E">
              <w:rPr>
                <w:rFonts w:asciiTheme="minorHAnsi" w:hAnsiTheme="minorHAnsi"/>
                <w:b/>
                <w:sz w:val="22"/>
                <w:szCs w:val="22"/>
              </w:rPr>
              <w:t xml:space="preserve">SOP No: </w:t>
            </w:r>
          </w:p>
          <w:p w:rsidR="00986312" w:rsidRPr="00897F3E" w:rsidRDefault="00986312" w:rsidP="00E50A7F">
            <w:pPr>
              <w:rPr>
                <w:rFonts w:asciiTheme="minorHAnsi" w:hAnsiTheme="minorHAnsi"/>
                <w:b/>
                <w:sz w:val="22"/>
                <w:szCs w:val="22"/>
              </w:rPr>
            </w:pPr>
            <w:r w:rsidRPr="00897F3E">
              <w:rPr>
                <w:rFonts w:asciiTheme="minorHAnsi" w:hAnsiTheme="minorHAnsi"/>
                <w:b/>
                <w:sz w:val="22"/>
                <w:szCs w:val="22"/>
              </w:rPr>
              <w:t>Version: 1</w:t>
            </w:r>
          </w:p>
          <w:p w:rsidR="00986312" w:rsidRPr="00897F3E" w:rsidRDefault="00986312"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986312"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986312" w:rsidRPr="00897F3E" w:rsidRDefault="00986312" w:rsidP="00986312">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Non-compliance to protocol SOP</w:t>
            </w:r>
            <w:r w:rsidRPr="00897F3E">
              <w:rPr>
                <w:rFonts w:asciiTheme="minorHAnsi" w:hAnsiTheme="minorHAnsi"/>
                <w:b/>
                <w:sz w:val="22"/>
                <w:szCs w:val="22"/>
              </w:rPr>
              <w:t xml:space="preserve"> </w:t>
            </w:r>
          </w:p>
        </w:tc>
      </w:tr>
      <w:tr w:rsidR="0098631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b/>
                <w:sz w:val="22"/>
                <w:szCs w:val="22"/>
              </w:rPr>
            </w:pPr>
            <w:r w:rsidRPr="00897F3E">
              <w:rPr>
                <w:rFonts w:asciiTheme="minorHAnsi" w:hAnsiTheme="minorHAnsi"/>
                <w:b/>
                <w:sz w:val="22"/>
                <w:szCs w:val="22"/>
              </w:rPr>
              <w:t>DATE</w:t>
            </w:r>
          </w:p>
        </w:tc>
      </w:tr>
      <w:tr w:rsidR="0098631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r>
      <w:tr w:rsidR="0098631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r>
      <w:tr w:rsidR="0098631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r>
      <w:tr w:rsidR="0098631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986312" w:rsidRPr="00897F3E" w:rsidRDefault="00986312"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986312" w:rsidRPr="00897F3E" w:rsidRDefault="00986312" w:rsidP="00E50A7F">
            <w:pPr>
              <w:jc w:val="center"/>
              <w:rPr>
                <w:rFonts w:asciiTheme="minorHAnsi" w:hAnsiTheme="minorHAnsi"/>
                <w:sz w:val="22"/>
                <w:szCs w:val="22"/>
              </w:rPr>
            </w:pPr>
          </w:p>
        </w:tc>
      </w:tr>
    </w:tbl>
    <w:p w:rsidR="00986312" w:rsidRDefault="00986312">
      <w:pPr>
        <w:spacing w:after="200" w:line="276" w:lineRule="auto"/>
        <w:rPr>
          <w:rFonts w:ascii="Calibri" w:hAnsi="Calibri" w:cs="Calibri"/>
          <w:b/>
          <w:bCs/>
          <w:sz w:val="22"/>
          <w:szCs w:val="22"/>
        </w:rPr>
      </w:pPr>
      <w:r>
        <w:rPr>
          <w:rFonts w:ascii="Calibri" w:hAnsi="Calibri" w:cs="Calibri"/>
          <w:b/>
          <w:bCs/>
          <w:sz w:val="22"/>
          <w:szCs w:val="22"/>
        </w:rPr>
        <w:br w:type="page"/>
      </w:r>
    </w:p>
    <w:p w:rsidR="00E73481" w:rsidRDefault="00E73481" w:rsidP="00E73481">
      <w:pPr>
        <w:numPr>
          <w:ilvl w:val="0"/>
          <w:numId w:val="1"/>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E73481" w:rsidRPr="002A25B1" w:rsidRDefault="00E73481" w:rsidP="00E73481">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identifying, documenting and reporting non-compliance to the protocol, Good Clinical Practice and/or regulatory requirement during a clinical trial conducted by the</w:t>
      </w:r>
      <w:r w:rsidRPr="00731882">
        <w:rPr>
          <w:rFonts w:ascii="Calibri" w:hAnsi="Calibri" w:cs="Calibri"/>
          <w:bCs/>
          <w:sz w:val="22"/>
          <w:szCs w:val="22"/>
        </w:rPr>
        <w:t xml:space="preserve"> </w:t>
      </w:r>
      <w:r w:rsidR="00986312">
        <w:rPr>
          <w:rFonts w:ascii="Calibri" w:hAnsi="Calibri" w:cs="Calibri"/>
          <w:bCs/>
          <w:sz w:val="22"/>
          <w:szCs w:val="22"/>
        </w:rPr>
        <w:t>[group/institution].</w:t>
      </w:r>
    </w:p>
    <w:p w:rsidR="00E73481" w:rsidRPr="001177BC" w:rsidRDefault="00E73481" w:rsidP="00E73481">
      <w:pPr>
        <w:spacing w:line="360" w:lineRule="auto"/>
        <w:jc w:val="both"/>
        <w:rPr>
          <w:rFonts w:ascii="Calibri" w:hAnsi="Calibri" w:cs="Calibri"/>
          <w:bCs/>
          <w:sz w:val="22"/>
          <w:szCs w:val="22"/>
        </w:rPr>
      </w:pPr>
    </w:p>
    <w:p w:rsidR="00E73481" w:rsidRPr="002A25B1" w:rsidRDefault="00E73481" w:rsidP="00E73481">
      <w:pPr>
        <w:numPr>
          <w:ilvl w:val="0"/>
          <w:numId w:val="1"/>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E73481" w:rsidRDefault="00E73481" w:rsidP="00E73481">
      <w:pPr>
        <w:spacing w:line="360" w:lineRule="auto"/>
        <w:jc w:val="both"/>
        <w:rPr>
          <w:rFonts w:ascii="Calibri" w:hAnsi="Calibri" w:cs="Calibri"/>
          <w:bCs/>
          <w:sz w:val="22"/>
          <w:szCs w:val="22"/>
        </w:rPr>
      </w:pPr>
      <w:r>
        <w:rPr>
          <w:rFonts w:ascii="Calibri" w:hAnsi="Calibri" w:cs="Calibri"/>
          <w:bCs/>
          <w:sz w:val="22"/>
          <w:szCs w:val="22"/>
        </w:rPr>
        <w:t>QA02.1</w:t>
      </w:r>
      <w:r>
        <w:rPr>
          <w:rFonts w:ascii="Calibri" w:hAnsi="Calibri" w:cs="Calibri"/>
          <w:bCs/>
          <w:sz w:val="22"/>
          <w:szCs w:val="22"/>
        </w:rPr>
        <w:tab/>
        <w:t>Non-compliance report</w:t>
      </w:r>
    </w:p>
    <w:p w:rsidR="00E73481" w:rsidRPr="00071BEE" w:rsidRDefault="00E73481" w:rsidP="00E73481">
      <w:pPr>
        <w:spacing w:line="360" w:lineRule="auto"/>
        <w:jc w:val="both"/>
        <w:rPr>
          <w:rFonts w:ascii="Calibri" w:hAnsi="Calibri" w:cs="Calibri"/>
          <w:bCs/>
          <w:sz w:val="22"/>
          <w:szCs w:val="22"/>
        </w:rPr>
      </w:pPr>
      <w:r>
        <w:rPr>
          <w:rFonts w:ascii="Calibri" w:hAnsi="Calibri" w:cs="Calibri"/>
          <w:bCs/>
          <w:sz w:val="22"/>
          <w:szCs w:val="22"/>
        </w:rPr>
        <w:t>QA02.2</w:t>
      </w:r>
      <w:r>
        <w:rPr>
          <w:rFonts w:ascii="Calibri" w:hAnsi="Calibri" w:cs="Calibri"/>
          <w:bCs/>
          <w:sz w:val="22"/>
          <w:szCs w:val="22"/>
        </w:rPr>
        <w:tab/>
        <w:t>Non-compliance log</w:t>
      </w:r>
    </w:p>
    <w:p w:rsidR="00E73481" w:rsidRPr="00071BEE" w:rsidRDefault="00E73481" w:rsidP="00E73481">
      <w:pPr>
        <w:spacing w:line="360" w:lineRule="auto"/>
        <w:jc w:val="both"/>
        <w:rPr>
          <w:rFonts w:ascii="Calibri" w:hAnsi="Calibri" w:cs="Calibri"/>
          <w:b/>
          <w:sz w:val="22"/>
          <w:szCs w:val="22"/>
        </w:rPr>
      </w:pPr>
    </w:p>
    <w:p w:rsidR="00E73481" w:rsidRPr="001177BC" w:rsidRDefault="00E73481" w:rsidP="00E73481">
      <w:pPr>
        <w:numPr>
          <w:ilvl w:val="0"/>
          <w:numId w:val="1"/>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E73481" w:rsidRDefault="00E73481" w:rsidP="00E73481">
      <w:pPr>
        <w:spacing w:line="360" w:lineRule="auto"/>
        <w:jc w:val="both"/>
        <w:rPr>
          <w:rFonts w:ascii="Calibri" w:hAnsi="Calibri" w:cs="Calibri"/>
          <w:b/>
          <w:bCs/>
          <w:sz w:val="22"/>
          <w:szCs w:val="22"/>
        </w:rPr>
      </w:pPr>
      <w:r>
        <w:rPr>
          <w:rFonts w:ascii="Calibri" w:hAnsi="Calibri" w:cs="Calibri"/>
          <w:b/>
          <w:bCs/>
          <w:sz w:val="22"/>
          <w:szCs w:val="22"/>
        </w:rPr>
        <w:t>Compliance</w:t>
      </w:r>
    </w:p>
    <w:p w:rsidR="00E73481" w:rsidRPr="00640E8C" w:rsidRDefault="00E73481" w:rsidP="00E73481">
      <w:pPr>
        <w:spacing w:line="360" w:lineRule="auto"/>
        <w:jc w:val="both"/>
        <w:rPr>
          <w:rFonts w:ascii="Calibri" w:hAnsi="Calibri" w:cs="Calibri"/>
          <w:bCs/>
          <w:sz w:val="22"/>
          <w:szCs w:val="22"/>
        </w:rPr>
      </w:pPr>
      <w:r w:rsidRPr="00640E8C">
        <w:rPr>
          <w:rFonts w:ascii="Calibri" w:hAnsi="Calibri" w:cs="Calibri"/>
          <w:bCs/>
          <w:sz w:val="22"/>
          <w:szCs w:val="22"/>
        </w:rPr>
        <w:t>Adherence to all the trial-related requirements, good clinical practice (GCP) requirements, and the applicable regulatory requirements</w:t>
      </w:r>
      <w:r>
        <w:rPr>
          <w:rFonts w:ascii="Calibri" w:hAnsi="Calibri" w:cs="Calibri"/>
          <w:bCs/>
          <w:sz w:val="22"/>
          <w:szCs w:val="22"/>
        </w:rPr>
        <w:t xml:space="preserve"> (See ICH GCP E6, 1996)</w:t>
      </w:r>
      <w:r w:rsidRPr="00640E8C">
        <w:rPr>
          <w:rFonts w:ascii="Calibri" w:hAnsi="Calibri" w:cs="Calibri"/>
          <w:bCs/>
          <w:sz w:val="22"/>
          <w:szCs w:val="22"/>
        </w:rPr>
        <w:t>.</w:t>
      </w:r>
    </w:p>
    <w:p w:rsidR="00E73481" w:rsidRDefault="00E73481" w:rsidP="00E73481">
      <w:pPr>
        <w:spacing w:line="360" w:lineRule="auto"/>
        <w:jc w:val="both"/>
        <w:rPr>
          <w:rFonts w:ascii="Calibri" w:hAnsi="Calibri" w:cs="Calibri"/>
          <w:b/>
          <w:bCs/>
          <w:sz w:val="22"/>
          <w:szCs w:val="22"/>
        </w:rPr>
      </w:pPr>
    </w:p>
    <w:p w:rsidR="00E73481" w:rsidRDefault="00E73481" w:rsidP="00E73481">
      <w:pPr>
        <w:spacing w:line="360" w:lineRule="auto"/>
        <w:jc w:val="both"/>
        <w:rPr>
          <w:rFonts w:ascii="Calibri" w:hAnsi="Calibri" w:cs="Calibri"/>
          <w:b/>
          <w:bCs/>
          <w:sz w:val="22"/>
          <w:szCs w:val="22"/>
        </w:rPr>
      </w:pPr>
      <w:r>
        <w:rPr>
          <w:rFonts w:ascii="Calibri" w:hAnsi="Calibri" w:cs="Calibri"/>
          <w:b/>
          <w:bCs/>
          <w:sz w:val="22"/>
          <w:szCs w:val="22"/>
        </w:rPr>
        <w:t>Exceptions</w:t>
      </w:r>
    </w:p>
    <w:p w:rsidR="00E73481" w:rsidRPr="00655D8E" w:rsidRDefault="00E73481" w:rsidP="00E73481">
      <w:pPr>
        <w:spacing w:line="360" w:lineRule="auto"/>
        <w:jc w:val="both"/>
        <w:rPr>
          <w:rFonts w:ascii="Calibri" w:hAnsi="Calibri" w:cs="Calibri"/>
          <w:bCs/>
          <w:sz w:val="22"/>
          <w:szCs w:val="22"/>
        </w:rPr>
      </w:pPr>
      <w:r>
        <w:rPr>
          <w:rFonts w:ascii="Calibri" w:hAnsi="Calibri" w:cs="Calibri"/>
          <w:bCs/>
          <w:sz w:val="22"/>
          <w:szCs w:val="22"/>
        </w:rPr>
        <w:t>T</w:t>
      </w:r>
      <w:r w:rsidRPr="00655D8E">
        <w:rPr>
          <w:rFonts w:ascii="Calibri" w:hAnsi="Calibri" w:cs="Calibri"/>
          <w:bCs/>
          <w:sz w:val="22"/>
          <w:szCs w:val="22"/>
        </w:rPr>
        <w:t>he UCT Faculty of Health Sciences HREC defines exceptions as one-time intentional actions or processes that depart from the HRE</w:t>
      </w:r>
      <w:bookmarkStart w:id="0" w:name="_GoBack"/>
      <w:bookmarkEnd w:id="0"/>
      <w:r w:rsidRPr="00655D8E">
        <w:rPr>
          <w:rFonts w:ascii="Calibri" w:hAnsi="Calibri" w:cs="Calibri"/>
          <w:bCs/>
          <w:sz w:val="22"/>
          <w:szCs w:val="22"/>
        </w:rPr>
        <w:t>C-approved protocol</w:t>
      </w:r>
      <w:r>
        <w:rPr>
          <w:rFonts w:ascii="Calibri" w:hAnsi="Calibri" w:cs="Calibri"/>
          <w:bCs/>
          <w:sz w:val="22"/>
          <w:szCs w:val="22"/>
        </w:rPr>
        <w:t>, stipulating that t</w:t>
      </w:r>
      <w:r w:rsidRPr="00655D8E">
        <w:rPr>
          <w:rFonts w:ascii="Calibri" w:hAnsi="Calibri" w:cs="Calibri"/>
          <w:bCs/>
          <w:sz w:val="22"/>
          <w:szCs w:val="22"/>
        </w:rPr>
        <w:t>hese temporary or limited changes must receive HREC approval prior to implementat</w:t>
      </w:r>
      <w:r>
        <w:rPr>
          <w:rFonts w:ascii="Calibri" w:hAnsi="Calibri" w:cs="Calibri"/>
          <w:bCs/>
          <w:sz w:val="22"/>
          <w:szCs w:val="22"/>
        </w:rPr>
        <w:t>ion in order to prevent being non-compliant</w:t>
      </w:r>
      <w:r w:rsidRPr="00655D8E">
        <w:rPr>
          <w:rFonts w:ascii="Calibri" w:hAnsi="Calibri" w:cs="Calibri"/>
          <w:bCs/>
          <w:sz w:val="22"/>
          <w:szCs w:val="22"/>
        </w:rPr>
        <w:t xml:space="preserve">. However, for clinical trials </w:t>
      </w:r>
      <w:r>
        <w:rPr>
          <w:rFonts w:ascii="Calibri" w:hAnsi="Calibri" w:cs="Calibri"/>
          <w:bCs/>
          <w:sz w:val="22"/>
          <w:szCs w:val="22"/>
        </w:rPr>
        <w:t xml:space="preserve">of unregistered medicinal products </w:t>
      </w:r>
      <w:r w:rsidRPr="00655D8E">
        <w:rPr>
          <w:rFonts w:ascii="Calibri" w:hAnsi="Calibri" w:cs="Calibri"/>
          <w:bCs/>
          <w:sz w:val="22"/>
          <w:szCs w:val="22"/>
        </w:rPr>
        <w:t>the current international standard is that these exceptions (sometimes termed 'waivers') are not acceptable. Therefore no such exceptions will be allowed.</w:t>
      </w:r>
    </w:p>
    <w:p w:rsidR="00E73481" w:rsidRDefault="00E73481" w:rsidP="00E73481">
      <w:pPr>
        <w:spacing w:line="360" w:lineRule="auto"/>
        <w:jc w:val="both"/>
        <w:rPr>
          <w:rFonts w:ascii="Calibri" w:hAnsi="Calibri" w:cs="Calibri"/>
          <w:b/>
          <w:bCs/>
          <w:sz w:val="22"/>
          <w:szCs w:val="22"/>
        </w:rPr>
      </w:pPr>
    </w:p>
    <w:p w:rsidR="00E73481" w:rsidRPr="0071469E" w:rsidRDefault="00E73481" w:rsidP="00E73481">
      <w:pPr>
        <w:spacing w:line="360" w:lineRule="auto"/>
        <w:jc w:val="both"/>
        <w:rPr>
          <w:rFonts w:ascii="Calibri" w:hAnsi="Calibri" w:cs="Calibri"/>
          <w:b/>
          <w:bCs/>
          <w:sz w:val="22"/>
          <w:szCs w:val="22"/>
        </w:rPr>
      </w:pPr>
      <w:r w:rsidRPr="0071469E">
        <w:rPr>
          <w:rFonts w:ascii="Calibri" w:hAnsi="Calibri" w:cs="Calibri"/>
          <w:b/>
          <w:bCs/>
          <w:sz w:val="22"/>
          <w:szCs w:val="22"/>
        </w:rPr>
        <w:t>Essential Documents</w:t>
      </w:r>
    </w:p>
    <w:p w:rsidR="00E73481" w:rsidRPr="0071469E" w:rsidRDefault="00E73481" w:rsidP="00E73481">
      <w:pPr>
        <w:spacing w:line="360" w:lineRule="auto"/>
        <w:jc w:val="both"/>
        <w:rPr>
          <w:rFonts w:ascii="Calibri" w:hAnsi="Calibri" w:cs="Calibri"/>
          <w:bCs/>
          <w:sz w:val="22"/>
          <w:szCs w:val="22"/>
        </w:rPr>
      </w:pPr>
      <w:r w:rsidRPr="0071469E">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E73481" w:rsidRPr="0071469E" w:rsidRDefault="00E73481" w:rsidP="00E73481">
      <w:pPr>
        <w:spacing w:line="360" w:lineRule="auto"/>
        <w:jc w:val="both"/>
        <w:rPr>
          <w:rFonts w:ascii="Calibri" w:hAnsi="Calibri" w:cs="Calibri"/>
          <w:bCs/>
          <w:sz w:val="22"/>
          <w:szCs w:val="22"/>
        </w:rPr>
      </w:pPr>
    </w:p>
    <w:p w:rsidR="00E73481" w:rsidRPr="0071469E" w:rsidRDefault="00E73481" w:rsidP="00E73481">
      <w:pPr>
        <w:spacing w:line="360" w:lineRule="auto"/>
        <w:jc w:val="both"/>
        <w:rPr>
          <w:rFonts w:ascii="Calibri" w:hAnsi="Calibri" w:cs="Calibri"/>
          <w:b/>
          <w:bCs/>
          <w:sz w:val="22"/>
          <w:szCs w:val="22"/>
        </w:rPr>
      </w:pPr>
      <w:r>
        <w:rPr>
          <w:rFonts w:ascii="Calibri" w:hAnsi="Calibri" w:cs="Calibri"/>
          <w:b/>
          <w:bCs/>
          <w:sz w:val="22"/>
          <w:szCs w:val="22"/>
        </w:rPr>
        <w:t>Investigator Site File (ISF)</w:t>
      </w:r>
    </w:p>
    <w:p w:rsidR="00E73481" w:rsidRDefault="00E73481" w:rsidP="00E73481">
      <w:pPr>
        <w:spacing w:line="360" w:lineRule="auto"/>
        <w:jc w:val="both"/>
        <w:rPr>
          <w:rFonts w:ascii="Calibri" w:hAnsi="Calibri" w:cs="Calibri"/>
          <w:bCs/>
          <w:sz w:val="22"/>
          <w:szCs w:val="22"/>
        </w:rPr>
      </w:pPr>
      <w:r w:rsidRPr="00D770B6">
        <w:rPr>
          <w:rFonts w:ascii="Calibri" w:hAnsi="Calibri" w:cs="Calibri"/>
          <w:bCs/>
          <w:sz w:val="22"/>
          <w:szCs w:val="22"/>
        </w:rPr>
        <w:t xml:space="preserve">Files </w:t>
      </w:r>
      <w:r>
        <w:rPr>
          <w:rFonts w:ascii="Calibri" w:hAnsi="Calibri" w:cs="Calibri"/>
          <w:bCs/>
          <w:sz w:val="22"/>
          <w:szCs w:val="22"/>
        </w:rPr>
        <w:t xml:space="preserve">of </w:t>
      </w:r>
      <w:r w:rsidRPr="00D770B6">
        <w:rPr>
          <w:rFonts w:ascii="Calibri" w:hAnsi="Calibri" w:cs="Calibri"/>
          <w:bCs/>
          <w:sz w:val="22"/>
          <w:szCs w:val="22"/>
        </w:rPr>
        <w:t>Essentia</w:t>
      </w:r>
      <w:r>
        <w:rPr>
          <w:rFonts w:ascii="Calibri" w:hAnsi="Calibri" w:cs="Calibri"/>
          <w:bCs/>
          <w:sz w:val="22"/>
          <w:szCs w:val="22"/>
        </w:rPr>
        <w:t>l Documents held by the Investigator.</w:t>
      </w:r>
    </w:p>
    <w:p w:rsidR="00E73481" w:rsidRDefault="00E73481" w:rsidP="00E73481">
      <w:pPr>
        <w:spacing w:line="360" w:lineRule="auto"/>
        <w:jc w:val="both"/>
        <w:rPr>
          <w:rFonts w:ascii="Calibri" w:hAnsi="Calibri" w:cs="Calibri"/>
          <w:bCs/>
          <w:sz w:val="22"/>
          <w:szCs w:val="22"/>
        </w:rPr>
      </w:pPr>
    </w:p>
    <w:p w:rsidR="00E73481" w:rsidRPr="009A4424" w:rsidRDefault="00E73481" w:rsidP="00E73481">
      <w:pPr>
        <w:autoSpaceDE w:val="0"/>
        <w:autoSpaceDN w:val="0"/>
        <w:adjustRightInd w:val="0"/>
        <w:spacing w:line="360" w:lineRule="auto"/>
        <w:rPr>
          <w:rFonts w:ascii="Calibri" w:hAnsi="Calibri" w:cs="Calibri"/>
          <w:sz w:val="22"/>
          <w:szCs w:val="22"/>
          <w:lang w:val="en-ZA" w:eastAsia="en-ZA"/>
        </w:rPr>
      </w:pPr>
      <w:r w:rsidRPr="009A4424">
        <w:rPr>
          <w:rFonts w:ascii="Calibri" w:hAnsi="Calibri" w:cs="Calibri"/>
          <w:b/>
          <w:sz w:val="22"/>
          <w:szCs w:val="22"/>
          <w:lang w:val="en-ZA" w:eastAsia="en-ZA"/>
        </w:rPr>
        <w:t>Non-compliance</w:t>
      </w:r>
      <w:r w:rsidRPr="009A4424">
        <w:rPr>
          <w:rFonts w:ascii="Calibri" w:hAnsi="Calibri" w:cs="Calibri"/>
          <w:sz w:val="22"/>
          <w:szCs w:val="22"/>
          <w:lang w:val="en-ZA" w:eastAsia="en-ZA"/>
        </w:rPr>
        <w:t>: An action by assigned staff which is not</w:t>
      </w:r>
      <w:r>
        <w:rPr>
          <w:rFonts w:ascii="Calibri" w:hAnsi="Calibri" w:cs="Calibri"/>
          <w:sz w:val="22"/>
          <w:szCs w:val="22"/>
          <w:lang w:val="en-ZA" w:eastAsia="en-ZA"/>
        </w:rPr>
        <w:t xml:space="preserve"> </w:t>
      </w:r>
      <w:r w:rsidRPr="009A4424">
        <w:rPr>
          <w:rFonts w:ascii="Calibri" w:hAnsi="Calibri" w:cs="Calibri"/>
          <w:sz w:val="22"/>
          <w:szCs w:val="22"/>
          <w:lang w:val="en-ZA" w:eastAsia="en-ZA"/>
        </w:rPr>
        <w:t>in accordance with documents applicable to the trial (e.g. trial protocol,</w:t>
      </w:r>
      <w:r>
        <w:rPr>
          <w:rFonts w:ascii="Calibri" w:hAnsi="Calibri" w:cs="Calibri"/>
          <w:sz w:val="22"/>
          <w:szCs w:val="22"/>
          <w:lang w:val="en-ZA" w:eastAsia="en-ZA"/>
        </w:rPr>
        <w:t xml:space="preserve"> </w:t>
      </w:r>
      <w:r w:rsidRPr="009A4424">
        <w:rPr>
          <w:rFonts w:ascii="Calibri" w:hAnsi="Calibri" w:cs="Calibri"/>
          <w:sz w:val="22"/>
          <w:szCs w:val="22"/>
          <w:lang w:val="en-ZA" w:eastAsia="en-ZA"/>
        </w:rPr>
        <w:t xml:space="preserve">relevant </w:t>
      </w:r>
      <w:r>
        <w:rPr>
          <w:rFonts w:ascii="Calibri" w:hAnsi="Calibri" w:cs="Calibri"/>
          <w:sz w:val="22"/>
          <w:szCs w:val="22"/>
          <w:lang w:val="en-ZA" w:eastAsia="en-ZA"/>
        </w:rPr>
        <w:t>SOPs</w:t>
      </w:r>
      <w:r w:rsidRPr="009A4424">
        <w:rPr>
          <w:rFonts w:ascii="Calibri" w:hAnsi="Calibri" w:cs="Calibri"/>
          <w:sz w:val="22"/>
          <w:szCs w:val="22"/>
          <w:lang w:val="en-ZA" w:eastAsia="en-ZA"/>
        </w:rPr>
        <w:t>, GCP and applicable regulations). Non-compliance can</w:t>
      </w:r>
      <w:r>
        <w:rPr>
          <w:rFonts w:ascii="Calibri" w:hAnsi="Calibri" w:cs="Calibri"/>
          <w:sz w:val="22"/>
          <w:szCs w:val="22"/>
          <w:lang w:val="en-ZA" w:eastAsia="en-ZA"/>
        </w:rPr>
        <w:t xml:space="preserve"> </w:t>
      </w:r>
      <w:r w:rsidRPr="009A4424">
        <w:rPr>
          <w:rFonts w:ascii="Calibri" w:hAnsi="Calibri" w:cs="Calibri"/>
          <w:sz w:val="22"/>
          <w:szCs w:val="22"/>
          <w:lang w:val="en-ZA" w:eastAsia="en-ZA"/>
        </w:rPr>
        <w:t>be reported by staff, identified during a site monitoring visit, an internal or</w:t>
      </w:r>
      <w:r>
        <w:rPr>
          <w:rFonts w:ascii="Calibri" w:hAnsi="Calibri" w:cs="Calibri"/>
          <w:sz w:val="22"/>
          <w:szCs w:val="22"/>
          <w:lang w:val="en-ZA" w:eastAsia="en-ZA"/>
        </w:rPr>
        <w:t xml:space="preserve"> </w:t>
      </w:r>
      <w:r w:rsidRPr="009A4424">
        <w:rPr>
          <w:rFonts w:ascii="Calibri" w:hAnsi="Calibri" w:cs="Calibri"/>
          <w:sz w:val="22"/>
          <w:szCs w:val="22"/>
          <w:lang w:val="en-ZA" w:eastAsia="en-ZA"/>
        </w:rPr>
        <w:t>external audit or during an inspection. Non-compliance may include, but is not</w:t>
      </w:r>
      <w:r>
        <w:rPr>
          <w:rFonts w:ascii="Calibri" w:hAnsi="Calibri" w:cs="Calibri"/>
          <w:sz w:val="22"/>
          <w:szCs w:val="22"/>
          <w:lang w:val="en-ZA" w:eastAsia="en-ZA"/>
        </w:rPr>
        <w:t xml:space="preserve"> </w:t>
      </w:r>
      <w:r w:rsidRPr="009A4424">
        <w:rPr>
          <w:rFonts w:ascii="Calibri" w:hAnsi="Calibri" w:cs="Calibri"/>
          <w:sz w:val="22"/>
          <w:szCs w:val="22"/>
          <w:lang w:val="en-ZA" w:eastAsia="en-ZA"/>
        </w:rPr>
        <w:t>limited to one or more of the following:</w:t>
      </w:r>
    </w:p>
    <w:p w:rsidR="00E73481" w:rsidRDefault="00E73481" w:rsidP="00E73481">
      <w:pPr>
        <w:autoSpaceDE w:val="0"/>
        <w:autoSpaceDN w:val="0"/>
        <w:adjustRightInd w:val="0"/>
        <w:spacing w:line="360" w:lineRule="auto"/>
        <w:rPr>
          <w:rFonts w:ascii="Calibri" w:eastAsia="SymbolMT" w:hAnsi="Calibri" w:cs="Calibri"/>
          <w:sz w:val="22"/>
          <w:szCs w:val="22"/>
          <w:lang w:val="en-ZA" w:eastAsia="en-ZA"/>
        </w:rPr>
      </w:pPr>
    </w:p>
    <w:p w:rsidR="00E73481" w:rsidRPr="009A4424" w:rsidRDefault="00E73481" w:rsidP="00E73481">
      <w:pPr>
        <w:numPr>
          <w:ilvl w:val="0"/>
          <w:numId w:val="2"/>
        </w:numPr>
        <w:autoSpaceDE w:val="0"/>
        <w:autoSpaceDN w:val="0"/>
        <w:adjustRightInd w:val="0"/>
        <w:spacing w:line="360" w:lineRule="auto"/>
        <w:rPr>
          <w:rFonts w:ascii="Calibri" w:hAnsi="Calibri" w:cs="Calibri"/>
          <w:sz w:val="22"/>
          <w:szCs w:val="22"/>
          <w:lang w:val="en-ZA" w:eastAsia="en-ZA"/>
        </w:rPr>
      </w:pPr>
      <w:r>
        <w:rPr>
          <w:rFonts w:ascii="Calibri" w:hAnsi="Calibri" w:cs="Calibri"/>
          <w:sz w:val="22"/>
          <w:szCs w:val="22"/>
          <w:lang w:val="en-ZA" w:eastAsia="en-ZA"/>
        </w:rPr>
        <w:t>A</w:t>
      </w:r>
      <w:r w:rsidRPr="009A4424">
        <w:rPr>
          <w:rFonts w:ascii="Calibri" w:hAnsi="Calibri" w:cs="Calibri"/>
          <w:sz w:val="22"/>
          <w:szCs w:val="22"/>
          <w:lang w:val="en-ZA" w:eastAsia="en-ZA"/>
        </w:rPr>
        <w:t>n action specifically prohibited by the protocol or relevant document</w:t>
      </w:r>
    </w:p>
    <w:p w:rsidR="00E73481" w:rsidRPr="009A4424" w:rsidRDefault="00E73481" w:rsidP="00E73481">
      <w:pPr>
        <w:numPr>
          <w:ilvl w:val="0"/>
          <w:numId w:val="2"/>
        </w:numPr>
        <w:autoSpaceDE w:val="0"/>
        <w:autoSpaceDN w:val="0"/>
        <w:adjustRightInd w:val="0"/>
        <w:spacing w:line="360" w:lineRule="auto"/>
        <w:rPr>
          <w:rFonts w:ascii="Calibri" w:hAnsi="Calibri" w:cs="Calibri"/>
          <w:sz w:val="22"/>
          <w:szCs w:val="22"/>
          <w:lang w:val="en-ZA" w:eastAsia="en-ZA"/>
        </w:rPr>
      </w:pPr>
      <w:r>
        <w:rPr>
          <w:rFonts w:ascii="Calibri" w:hAnsi="Calibri" w:cs="Calibri"/>
          <w:sz w:val="22"/>
          <w:szCs w:val="22"/>
          <w:lang w:val="en-ZA" w:eastAsia="en-ZA"/>
        </w:rPr>
        <w:t>A</w:t>
      </w:r>
      <w:r w:rsidRPr="009A4424">
        <w:rPr>
          <w:rFonts w:ascii="Calibri" w:hAnsi="Calibri" w:cs="Calibri"/>
          <w:sz w:val="22"/>
          <w:szCs w:val="22"/>
          <w:lang w:val="en-ZA" w:eastAsia="en-ZA"/>
        </w:rPr>
        <w:t>n additional action not specified in the protocol or relevant document</w:t>
      </w:r>
    </w:p>
    <w:p w:rsidR="00E73481" w:rsidRPr="009A4424" w:rsidRDefault="00E73481" w:rsidP="00E73481">
      <w:pPr>
        <w:numPr>
          <w:ilvl w:val="0"/>
          <w:numId w:val="2"/>
        </w:numPr>
        <w:autoSpaceDE w:val="0"/>
        <w:autoSpaceDN w:val="0"/>
        <w:adjustRightInd w:val="0"/>
        <w:spacing w:line="360" w:lineRule="auto"/>
        <w:rPr>
          <w:rFonts w:ascii="Calibri" w:hAnsi="Calibri" w:cs="Calibri"/>
          <w:sz w:val="22"/>
          <w:szCs w:val="22"/>
          <w:lang w:val="en-ZA" w:eastAsia="en-ZA"/>
        </w:rPr>
      </w:pPr>
      <w:r>
        <w:rPr>
          <w:rFonts w:ascii="Calibri" w:hAnsi="Calibri" w:cs="Calibri"/>
          <w:sz w:val="22"/>
          <w:szCs w:val="22"/>
          <w:lang w:val="en-ZA" w:eastAsia="en-ZA"/>
        </w:rPr>
        <w:t>A</w:t>
      </w:r>
      <w:r w:rsidRPr="009A4424">
        <w:rPr>
          <w:rFonts w:ascii="Calibri" w:hAnsi="Calibri" w:cs="Calibri"/>
          <w:sz w:val="22"/>
          <w:szCs w:val="22"/>
          <w:lang w:val="en-ZA" w:eastAsia="en-ZA"/>
        </w:rPr>
        <w:t>n omission of an action specifically stipula</w:t>
      </w:r>
      <w:r>
        <w:rPr>
          <w:rFonts w:ascii="Calibri" w:hAnsi="Calibri" w:cs="Calibri"/>
          <w:sz w:val="22"/>
          <w:szCs w:val="22"/>
          <w:lang w:val="en-ZA" w:eastAsia="en-ZA"/>
        </w:rPr>
        <w:t xml:space="preserve">ted in the protocol or relevant </w:t>
      </w:r>
      <w:r w:rsidRPr="009A4424">
        <w:rPr>
          <w:rFonts w:ascii="Calibri" w:hAnsi="Calibri" w:cs="Calibri"/>
          <w:sz w:val="22"/>
          <w:szCs w:val="22"/>
          <w:lang w:val="en-ZA" w:eastAsia="en-ZA"/>
        </w:rPr>
        <w:t>document.</w:t>
      </w: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r w:rsidRPr="0059607A">
        <w:rPr>
          <w:rFonts w:ascii="Calibri" w:hAnsi="Calibri" w:cs="Calibri"/>
          <w:b/>
          <w:sz w:val="22"/>
          <w:szCs w:val="22"/>
          <w:lang w:val="en-ZA" w:eastAsia="en-ZA"/>
        </w:rPr>
        <w:t>Major non-compliance</w:t>
      </w:r>
      <w:r w:rsidRPr="0059607A">
        <w:rPr>
          <w:rFonts w:ascii="Calibri" w:hAnsi="Calibri" w:cs="Calibri"/>
          <w:sz w:val="22"/>
          <w:szCs w:val="22"/>
          <w:lang w:val="en-ZA" w:eastAsia="en-ZA"/>
        </w:rPr>
        <w:t>: Serious and/or persistent contravention of GCP and/or trial-related procedures that have an impact on participant safety, may substantially alter risks to participants, may have an effect on the integrity of the trial data, and/or the ethics of the trial (e.g. failure to perform a required safety assessment, written informed consent not appropriately obtained before initiation of trial-related procedures).</w:t>
      </w: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r w:rsidRPr="0059607A">
        <w:rPr>
          <w:rFonts w:ascii="Calibri" w:hAnsi="Calibri" w:cs="Calibri"/>
          <w:b/>
          <w:sz w:val="22"/>
          <w:szCs w:val="22"/>
          <w:lang w:val="en-ZA" w:eastAsia="en-ZA"/>
        </w:rPr>
        <w:t>Minor non-compliance</w:t>
      </w:r>
      <w:r w:rsidRPr="0059607A">
        <w:rPr>
          <w:rFonts w:ascii="Calibri" w:hAnsi="Calibri" w:cs="Calibri"/>
          <w:sz w:val="22"/>
          <w:szCs w:val="22"/>
          <w:lang w:val="en-ZA" w:eastAsia="en-ZA"/>
        </w:rPr>
        <w:t>: A contravention of GCP or the protocol that does not impact participant safety, compromise the integrity of the trial data, and/or ethics of the trial (e.g. trial visit conducted outside of required timeframe, failure of participant to return trial medication). Several minor observations may collectively be considered as equal to a major non-compliance.</w:t>
      </w: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p>
    <w:p w:rsidR="00E73481" w:rsidRPr="0059607A" w:rsidRDefault="00E73481" w:rsidP="00E73481">
      <w:pPr>
        <w:autoSpaceDE w:val="0"/>
        <w:autoSpaceDN w:val="0"/>
        <w:adjustRightInd w:val="0"/>
        <w:spacing w:line="360" w:lineRule="auto"/>
        <w:rPr>
          <w:rFonts w:ascii="Calibri" w:hAnsi="Calibri" w:cs="Calibri"/>
          <w:sz w:val="22"/>
          <w:szCs w:val="22"/>
          <w:lang w:val="en-ZA" w:eastAsia="en-ZA"/>
        </w:rPr>
      </w:pPr>
      <w:r w:rsidRPr="0059607A">
        <w:rPr>
          <w:rFonts w:ascii="Calibri" w:hAnsi="Calibri" w:cs="Calibri"/>
          <w:b/>
          <w:sz w:val="22"/>
          <w:szCs w:val="22"/>
          <w:lang w:val="en-ZA" w:eastAsia="en-ZA"/>
        </w:rPr>
        <w:t>Root cause analysis</w:t>
      </w:r>
      <w:r w:rsidRPr="0059607A">
        <w:rPr>
          <w:rFonts w:ascii="Calibri" w:hAnsi="Calibri" w:cs="Calibri"/>
          <w:sz w:val="22"/>
          <w:szCs w:val="22"/>
          <w:lang w:val="en-ZA" w:eastAsia="en-ZA"/>
        </w:rPr>
        <w:t>: The investigation and identification of underlying causes of problems or events, in order to develop and implement corrective and preventive actions, to prevent recurrence of the events.</w:t>
      </w:r>
      <w:r w:rsidRPr="0059607A">
        <w:rPr>
          <w:rFonts w:ascii="Calibri" w:eastAsia="SymbolMT" w:hAnsi="Calibri" w:cs="Calibri"/>
          <w:sz w:val="22"/>
          <w:szCs w:val="22"/>
          <w:lang w:val="en-ZA" w:eastAsia="en-ZA"/>
        </w:rPr>
        <w:t xml:space="preserve"> </w:t>
      </w:r>
    </w:p>
    <w:p w:rsidR="00E73481" w:rsidRPr="0071469E" w:rsidRDefault="00E73481" w:rsidP="00E73481">
      <w:pPr>
        <w:spacing w:line="360" w:lineRule="auto"/>
        <w:jc w:val="both"/>
        <w:rPr>
          <w:rFonts w:ascii="Calibri" w:hAnsi="Calibri" w:cs="Calibri"/>
          <w:bCs/>
          <w:sz w:val="22"/>
          <w:szCs w:val="22"/>
        </w:rPr>
      </w:pPr>
    </w:p>
    <w:p w:rsidR="00E73481" w:rsidRPr="001624E6" w:rsidRDefault="00E73481" w:rsidP="00E73481">
      <w:pPr>
        <w:numPr>
          <w:ilvl w:val="0"/>
          <w:numId w:val="1"/>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E73481" w:rsidRDefault="00E73481" w:rsidP="00E73481">
      <w:pPr>
        <w:numPr>
          <w:ilvl w:val="1"/>
          <w:numId w:val="1"/>
        </w:numPr>
        <w:spacing w:line="360" w:lineRule="auto"/>
        <w:jc w:val="both"/>
        <w:rPr>
          <w:rFonts w:ascii="Calibri" w:hAnsi="Calibri" w:cs="Calibri"/>
          <w:bCs/>
          <w:sz w:val="22"/>
          <w:szCs w:val="22"/>
        </w:rPr>
      </w:pPr>
      <w:r>
        <w:rPr>
          <w:rFonts w:ascii="Calibri" w:hAnsi="Calibri" w:cs="Calibri"/>
          <w:bCs/>
          <w:sz w:val="22"/>
          <w:szCs w:val="22"/>
        </w:rPr>
        <w:t xml:space="preserve">The investigator should not implement any deviation from, or changes of, the </w:t>
      </w:r>
      <w:r w:rsidRPr="00655D8E">
        <w:rPr>
          <w:rFonts w:ascii="Calibri" w:hAnsi="Calibri" w:cs="Calibri"/>
          <w:bCs/>
          <w:sz w:val="22"/>
          <w:szCs w:val="22"/>
        </w:rPr>
        <w:t xml:space="preserve">protocol without agreement from the Sponsor, </w:t>
      </w:r>
      <w:r>
        <w:rPr>
          <w:rFonts w:ascii="Calibri" w:hAnsi="Calibri" w:cs="Calibri"/>
          <w:bCs/>
          <w:sz w:val="22"/>
          <w:szCs w:val="22"/>
        </w:rPr>
        <w:t xml:space="preserve">and documented approval/favourable opinion of </w:t>
      </w:r>
      <w:r w:rsidRPr="00655D8E">
        <w:rPr>
          <w:rFonts w:ascii="Calibri" w:hAnsi="Calibri" w:cs="Calibri"/>
          <w:bCs/>
          <w:sz w:val="22"/>
          <w:szCs w:val="22"/>
        </w:rPr>
        <w:t>the human research ethics committee (HREC)</w:t>
      </w:r>
      <w:r>
        <w:rPr>
          <w:rFonts w:ascii="Calibri" w:hAnsi="Calibri" w:cs="Calibri"/>
          <w:bCs/>
          <w:sz w:val="22"/>
          <w:szCs w:val="22"/>
        </w:rPr>
        <w:t>,</w:t>
      </w:r>
      <w:r w:rsidRPr="00655D8E">
        <w:rPr>
          <w:rFonts w:ascii="Calibri" w:hAnsi="Calibri" w:cs="Calibri"/>
          <w:bCs/>
          <w:sz w:val="22"/>
          <w:szCs w:val="22"/>
        </w:rPr>
        <w:t xml:space="preserve"> and South African M</w:t>
      </w:r>
      <w:r>
        <w:rPr>
          <w:rFonts w:ascii="Calibri" w:hAnsi="Calibri" w:cs="Calibri"/>
          <w:bCs/>
          <w:sz w:val="22"/>
          <w:szCs w:val="22"/>
        </w:rPr>
        <w:t xml:space="preserve">edicines Control Council (MCC) </w:t>
      </w:r>
      <w:r w:rsidRPr="00655D8E">
        <w:rPr>
          <w:rFonts w:ascii="Calibri" w:hAnsi="Calibri" w:cs="Calibri"/>
          <w:bCs/>
          <w:sz w:val="22"/>
          <w:szCs w:val="22"/>
        </w:rPr>
        <w:t>if relevant. An exception is when it is necessary to eliminate an immediate hazard to trial participants.</w:t>
      </w:r>
      <w:r>
        <w:rPr>
          <w:rFonts w:ascii="Calibri" w:hAnsi="Calibri" w:cs="Calibri"/>
          <w:bCs/>
          <w:sz w:val="22"/>
          <w:szCs w:val="22"/>
        </w:rPr>
        <w:t xml:space="preserve"> In the event of the latter, as soon as possible, the implemented deviation or change, the reasons for it, and, if appropriate, the proposed protocol amendment(s) should be submitted to the Sponsor for agreement, the HREC for review and approval, and, if required, to the regulatory authority as a notification. NB Logistical or administrative changes, which may not require prior HREC/MCC approval, should be discussed with the Sponsor before implementation. </w:t>
      </w:r>
    </w:p>
    <w:p w:rsidR="00E73481" w:rsidRPr="00C5152F" w:rsidRDefault="00E73481" w:rsidP="00E73481">
      <w:pPr>
        <w:spacing w:line="360" w:lineRule="auto"/>
        <w:jc w:val="both"/>
        <w:rPr>
          <w:rFonts w:ascii="Calibri" w:hAnsi="Calibri" w:cs="Calibri"/>
          <w:bCs/>
          <w:sz w:val="22"/>
          <w:szCs w:val="22"/>
        </w:rPr>
      </w:pPr>
    </w:p>
    <w:p w:rsidR="00E73481" w:rsidRPr="00A25EC0" w:rsidRDefault="00E73481" w:rsidP="00E73481">
      <w:pPr>
        <w:numPr>
          <w:ilvl w:val="1"/>
          <w:numId w:val="1"/>
        </w:numPr>
        <w:spacing w:line="360" w:lineRule="auto"/>
        <w:ind w:left="720"/>
        <w:jc w:val="both"/>
        <w:rPr>
          <w:rFonts w:ascii="Calibri" w:hAnsi="Calibri" w:cs="Calibri"/>
          <w:bCs/>
          <w:sz w:val="22"/>
          <w:szCs w:val="22"/>
        </w:rPr>
      </w:pPr>
      <w:r w:rsidRPr="00ED6BFF">
        <w:rPr>
          <w:rFonts w:ascii="Calibri" w:hAnsi="Calibri" w:cs="Calibri"/>
          <w:bCs/>
          <w:sz w:val="22"/>
          <w:szCs w:val="22"/>
        </w:rPr>
        <w:t xml:space="preserve">Unplanned non-compliance noted </w:t>
      </w:r>
      <w:r>
        <w:rPr>
          <w:rFonts w:ascii="Calibri" w:hAnsi="Calibri" w:cs="Calibri"/>
          <w:bCs/>
          <w:sz w:val="22"/>
          <w:szCs w:val="22"/>
        </w:rPr>
        <w:t>within</w:t>
      </w:r>
      <w:r w:rsidRPr="00ED6BFF">
        <w:rPr>
          <w:rFonts w:ascii="Calibri" w:hAnsi="Calibri" w:cs="Calibri"/>
          <w:bCs/>
          <w:sz w:val="22"/>
          <w:szCs w:val="22"/>
        </w:rPr>
        <w:t xml:space="preserve"> the trial team should be brought to the attention of the PI and Sponsor </w:t>
      </w:r>
      <w:r>
        <w:rPr>
          <w:rFonts w:ascii="Calibri" w:hAnsi="Calibri" w:cs="Calibri"/>
          <w:bCs/>
          <w:sz w:val="22"/>
          <w:szCs w:val="22"/>
        </w:rPr>
        <w:t>as soon as possible. F</w:t>
      </w:r>
      <w:r w:rsidRPr="00A25EC0">
        <w:rPr>
          <w:rFonts w:ascii="Calibri" w:hAnsi="Calibri" w:cs="Calibri"/>
          <w:bCs/>
          <w:sz w:val="22"/>
          <w:szCs w:val="22"/>
        </w:rPr>
        <w:t>orm QA02.1 (or trial-specific equivalent document)</w:t>
      </w:r>
      <w:r>
        <w:rPr>
          <w:rFonts w:ascii="Calibri" w:hAnsi="Calibri" w:cs="Calibri"/>
          <w:bCs/>
          <w:sz w:val="22"/>
          <w:szCs w:val="22"/>
        </w:rPr>
        <w:t xml:space="preserve"> will be completed, including</w:t>
      </w:r>
      <w:r w:rsidRPr="00A25EC0">
        <w:rPr>
          <w:rFonts w:ascii="Calibri" w:hAnsi="Calibri" w:cs="Calibri"/>
          <w:bCs/>
          <w:sz w:val="22"/>
          <w:szCs w:val="22"/>
        </w:rPr>
        <w:t xml:space="preserve"> the category, root cause analysis and </w:t>
      </w:r>
      <w:r w:rsidRPr="00A25EC0">
        <w:rPr>
          <w:rFonts w:ascii="Calibri" w:hAnsi="Calibri" w:cs="Calibri"/>
          <w:sz w:val="22"/>
          <w:szCs w:val="22"/>
        </w:rPr>
        <w:t>corrective/preventive action taken</w:t>
      </w:r>
      <w:r w:rsidRPr="00A25EC0">
        <w:rPr>
          <w:rFonts w:ascii="Calibri" w:hAnsi="Calibri" w:cs="Calibri"/>
          <w:bCs/>
          <w:sz w:val="22"/>
          <w:szCs w:val="22"/>
        </w:rPr>
        <w:t>:</w:t>
      </w:r>
    </w:p>
    <w:p w:rsidR="00E73481" w:rsidRDefault="00E73481" w:rsidP="00E73481">
      <w:pPr>
        <w:numPr>
          <w:ilvl w:val="2"/>
          <w:numId w:val="1"/>
        </w:numPr>
        <w:spacing w:line="360" w:lineRule="auto"/>
        <w:jc w:val="both"/>
        <w:rPr>
          <w:rFonts w:ascii="Calibri" w:hAnsi="Calibri" w:cs="Calibri"/>
          <w:bCs/>
          <w:sz w:val="22"/>
          <w:szCs w:val="22"/>
        </w:rPr>
      </w:pPr>
      <w:r>
        <w:rPr>
          <w:rFonts w:ascii="Calibri" w:hAnsi="Calibri" w:cs="Calibri"/>
          <w:bCs/>
          <w:sz w:val="22"/>
          <w:szCs w:val="22"/>
        </w:rPr>
        <w:t>M</w:t>
      </w:r>
      <w:r w:rsidRPr="00ED6BFF">
        <w:rPr>
          <w:rFonts w:ascii="Calibri" w:hAnsi="Calibri" w:cs="Calibri"/>
          <w:bCs/>
          <w:sz w:val="22"/>
          <w:szCs w:val="22"/>
        </w:rPr>
        <w:t xml:space="preserve">ajor non-compliance will </w:t>
      </w:r>
      <w:r>
        <w:rPr>
          <w:rFonts w:ascii="Calibri" w:hAnsi="Calibri" w:cs="Calibri"/>
          <w:bCs/>
          <w:sz w:val="22"/>
          <w:szCs w:val="22"/>
        </w:rPr>
        <w:t xml:space="preserve">be reported </w:t>
      </w:r>
      <w:r w:rsidRPr="00ED6BFF">
        <w:rPr>
          <w:rFonts w:ascii="Calibri" w:hAnsi="Calibri" w:cs="Calibri"/>
          <w:bCs/>
          <w:sz w:val="22"/>
          <w:szCs w:val="22"/>
        </w:rPr>
        <w:t xml:space="preserve">to the </w:t>
      </w:r>
      <w:r w:rsidR="00986312">
        <w:rPr>
          <w:rFonts w:ascii="Calibri" w:hAnsi="Calibri" w:cs="Calibri"/>
          <w:bCs/>
          <w:sz w:val="22"/>
          <w:szCs w:val="22"/>
        </w:rPr>
        <w:t>institutional</w:t>
      </w:r>
      <w:r w:rsidR="00986312" w:rsidRPr="00ED6BFF">
        <w:rPr>
          <w:rFonts w:ascii="Calibri" w:hAnsi="Calibri" w:cs="Calibri"/>
          <w:bCs/>
          <w:sz w:val="22"/>
          <w:szCs w:val="22"/>
        </w:rPr>
        <w:t xml:space="preserve"> </w:t>
      </w:r>
      <w:r w:rsidRPr="00ED6BFF">
        <w:rPr>
          <w:rFonts w:ascii="Calibri" w:hAnsi="Calibri" w:cs="Calibri"/>
          <w:bCs/>
          <w:sz w:val="22"/>
          <w:szCs w:val="22"/>
        </w:rPr>
        <w:t xml:space="preserve">HREC on form FHS011 within seven calendar days of </w:t>
      </w:r>
      <w:r>
        <w:rPr>
          <w:rFonts w:ascii="Calibri" w:hAnsi="Calibri" w:cs="Calibri"/>
          <w:bCs/>
          <w:sz w:val="22"/>
          <w:szCs w:val="22"/>
        </w:rPr>
        <w:t>knowing about</w:t>
      </w:r>
      <w:r w:rsidRPr="00ED6BFF">
        <w:rPr>
          <w:rFonts w:ascii="Calibri" w:hAnsi="Calibri" w:cs="Calibri"/>
          <w:bCs/>
          <w:sz w:val="22"/>
          <w:szCs w:val="22"/>
        </w:rPr>
        <w:t xml:space="preserve"> the incident. The MCC will also be informed. </w:t>
      </w:r>
    </w:p>
    <w:p w:rsidR="00E73481" w:rsidRDefault="00E73481" w:rsidP="00E73481">
      <w:pPr>
        <w:numPr>
          <w:ilvl w:val="2"/>
          <w:numId w:val="1"/>
        </w:numPr>
        <w:spacing w:line="360" w:lineRule="auto"/>
        <w:jc w:val="both"/>
        <w:rPr>
          <w:rFonts w:ascii="Calibri" w:hAnsi="Calibri" w:cs="Calibri"/>
          <w:bCs/>
          <w:sz w:val="22"/>
          <w:szCs w:val="22"/>
        </w:rPr>
      </w:pPr>
      <w:r w:rsidRPr="00ED6BFF">
        <w:rPr>
          <w:rFonts w:ascii="Calibri" w:hAnsi="Calibri" w:cs="Calibri"/>
          <w:bCs/>
          <w:sz w:val="22"/>
          <w:szCs w:val="22"/>
        </w:rPr>
        <w:t xml:space="preserve">Minor </w:t>
      </w:r>
      <w:r>
        <w:rPr>
          <w:rFonts w:ascii="Calibri" w:hAnsi="Calibri" w:cs="Calibri"/>
          <w:bCs/>
          <w:sz w:val="22"/>
          <w:szCs w:val="22"/>
        </w:rPr>
        <w:t>non-compliance</w:t>
      </w:r>
      <w:r w:rsidRPr="00ED6BFF">
        <w:rPr>
          <w:rFonts w:ascii="Calibri" w:hAnsi="Calibri" w:cs="Calibri"/>
          <w:bCs/>
          <w:sz w:val="22"/>
          <w:szCs w:val="22"/>
        </w:rPr>
        <w:t xml:space="preserve"> will be reported to the </w:t>
      </w:r>
      <w:r w:rsidR="00986312">
        <w:rPr>
          <w:rFonts w:ascii="Calibri" w:hAnsi="Calibri" w:cs="Calibri"/>
          <w:bCs/>
          <w:sz w:val="22"/>
          <w:szCs w:val="22"/>
        </w:rPr>
        <w:t>institutional</w:t>
      </w:r>
      <w:r w:rsidRPr="00ED6BFF">
        <w:rPr>
          <w:rFonts w:ascii="Calibri" w:hAnsi="Calibri" w:cs="Calibri"/>
          <w:bCs/>
          <w:sz w:val="22"/>
          <w:szCs w:val="22"/>
        </w:rPr>
        <w:t xml:space="preserve"> </w:t>
      </w:r>
      <w:r>
        <w:rPr>
          <w:rFonts w:ascii="Calibri" w:hAnsi="Calibri" w:cs="Calibri"/>
          <w:bCs/>
          <w:sz w:val="22"/>
          <w:szCs w:val="22"/>
        </w:rPr>
        <w:t>H</w:t>
      </w:r>
      <w:r w:rsidRPr="00ED6BFF">
        <w:rPr>
          <w:rFonts w:ascii="Calibri" w:hAnsi="Calibri" w:cs="Calibri"/>
          <w:bCs/>
          <w:sz w:val="22"/>
          <w:szCs w:val="22"/>
        </w:rPr>
        <w:t xml:space="preserve">REC </w:t>
      </w:r>
      <w:r>
        <w:rPr>
          <w:rFonts w:ascii="Calibri" w:hAnsi="Calibri" w:cs="Calibri"/>
          <w:bCs/>
          <w:sz w:val="22"/>
          <w:szCs w:val="22"/>
        </w:rPr>
        <w:t xml:space="preserve">and MCC </w:t>
      </w:r>
      <w:r w:rsidRPr="00ED6BFF">
        <w:rPr>
          <w:rFonts w:ascii="Calibri" w:hAnsi="Calibri" w:cs="Calibri"/>
          <w:bCs/>
          <w:sz w:val="22"/>
          <w:szCs w:val="22"/>
        </w:rPr>
        <w:t xml:space="preserve">in the next progress report. </w:t>
      </w:r>
    </w:p>
    <w:p w:rsidR="00E73481" w:rsidRDefault="00E73481" w:rsidP="00E73481">
      <w:pPr>
        <w:spacing w:line="360" w:lineRule="auto"/>
        <w:jc w:val="both"/>
        <w:rPr>
          <w:rFonts w:ascii="Calibri" w:hAnsi="Calibri" w:cs="Calibri"/>
          <w:bCs/>
          <w:sz w:val="22"/>
          <w:szCs w:val="22"/>
        </w:rPr>
      </w:pPr>
    </w:p>
    <w:p w:rsidR="00E73481" w:rsidRDefault="00E73481" w:rsidP="00E73481">
      <w:pPr>
        <w:numPr>
          <w:ilvl w:val="1"/>
          <w:numId w:val="1"/>
        </w:numPr>
        <w:spacing w:line="360" w:lineRule="auto"/>
        <w:jc w:val="both"/>
        <w:rPr>
          <w:rFonts w:ascii="Calibri" w:hAnsi="Calibri" w:cs="Calibri"/>
          <w:bCs/>
          <w:sz w:val="22"/>
          <w:szCs w:val="22"/>
        </w:rPr>
      </w:pPr>
      <w:r w:rsidRPr="00ED6BFF">
        <w:rPr>
          <w:rFonts w:ascii="Calibri" w:hAnsi="Calibri" w:cs="Calibri"/>
          <w:bCs/>
          <w:sz w:val="22"/>
          <w:szCs w:val="22"/>
        </w:rPr>
        <w:t xml:space="preserve">The following allowable windows apply to the timing of pharmacokinetic samples, and their associated visit procedures (unless otherwise specified in a trial protocol), and will not be considered </w:t>
      </w:r>
      <w:r>
        <w:rPr>
          <w:rFonts w:ascii="Calibri" w:hAnsi="Calibri" w:cs="Calibri"/>
          <w:bCs/>
          <w:sz w:val="22"/>
          <w:szCs w:val="22"/>
        </w:rPr>
        <w:t>non-compliance</w:t>
      </w:r>
      <w:r w:rsidRPr="00ED6BFF">
        <w:rPr>
          <w:rFonts w:ascii="Calibri" w:hAnsi="Calibri" w:cs="Calibri"/>
          <w:bCs/>
          <w:sz w:val="22"/>
          <w:szCs w:val="22"/>
        </w:rPr>
        <w:t>:</w:t>
      </w:r>
    </w:p>
    <w:p w:rsidR="00E73481" w:rsidRDefault="00E73481" w:rsidP="00E73481">
      <w:pPr>
        <w:spacing w:line="360" w:lineRule="auto"/>
        <w:ind w:left="360"/>
        <w:jc w:val="both"/>
        <w:rPr>
          <w:rFonts w:ascii="Calibri" w:hAnsi="Calibri" w:cs="Calibri"/>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941"/>
      </w:tblGrid>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
                <w:bCs/>
                <w:sz w:val="20"/>
                <w:szCs w:val="20"/>
              </w:rPr>
            </w:pPr>
            <w:r w:rsidRPr="001656DE">
              <w:rPr>
                <w:rFonts w:ascii="Calibri" w:hAnsi="Calibri" w:cs="Calibri"/>
                <w:b/>
                <w:bCs/>
                <w:sz w:val="20"/>
                <w:szCs w:val="20"/>
              </w:rPr>
              <w:t>Protocol scheduled time (post-dose)</w:t>
            </w:r>
          </w:p>
        </w:tc>
        <w:tc>
          <w:tcPr>
            <w:tcW w:w="4968" w:type="dxa"/>
            <w:shd w:val="clear" w:color="auto" w:fill="auto"/>
          </w:tcPr>
          <w:p w:rsidR="00E73481" w:rsidRPr="001656DE" w:rsidRDefault="00E73481" w:rsidP="00E50A7F">
            <w:pPr>
              <w:spacing w:line="360" w:lineRule="auto"/>
              <w:jc w:val="both"/>
              <w:rPr>
                <w:rFonts w:ascii="Calibri" w:hAnsi="Calibri" w:cs="Calibri"/>
                <w:b/>
                <w:bCs/>
                <w:sz w:val="20"/>
                <w:szCs w:val="20"/>
              </w:rPr>
            </w:pPr>
            <w:r w:rsidRPr="001656DE">
              <w:rPr>
                <w:rFonts w:ascii="Calibri" w:hAnsi="Calibri" w:cs="Calibri"/>
                <w:b/>
                <w:bCs/>
                <w:sz w:val="20"/>
                <w:szCs w:val="20"/>
              </w:rPr>
              <w:t>Allowable window</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0 minutes to ≤ 4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5 minutes</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&gt; 4 hours to ≤ 24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10 minutes</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&gt; 24 hours to ≤ 48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1 hour</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&gt; 48 hours to ≤ 72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4 hours</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&gt; 72 hours to ≤ 168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1 day</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&gt; 168 hours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2 days</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Pr>
                <w:rFonts w:ascii="Calibri" w:hAnsi="Calibri" w:cs="Calibri"/>
                <w:bCs/>
                <w:sz w:val="20"/>
                <w:szCs w:val="20"/>
              </w:rPr>
              <w:t>&gt; 4 weeks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xml:space="preserve">± </w:t>
            </w:r>
            <w:r>
              <w:rPr>
                <w:rFonts w:ascii="Calibri" w:hAnsi="Calibri" w:cs="Calibri"/>
                <w:bCs/>
                <w:sz w:val="20"/>
                <w:szCs w:val="20"/>
              </w:rPr>
              <w:t>3</w:t>
            </w:r>
            <w:r w:rsidRPr="001656DE">
              <w:rPr>
                <w:rFonts w:ascii="Calibri" w:hAnsi="Calibri" w:cs="Calibri"/>
                <w:bCs/>
                <w:sz w:val="20"/>
                <w:szCs w:val="20"/>
              </w:rPr>
              <w:t xml:space="preserve"> days</w:t>
            </w:r>
          </w:p>
        </w:tc>
      </w:tr>
      <w:tr w:rsidR="00E73481" w:rsidRPr="001656DE" w:rsidTr="00E50A7F">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Pr>
                <w:rFonts w:ascii="Calibri" w:hAnsi="Calibri" w:cs="Calibri"/>
                <w:bCs/>
                <w:sz w:val="20"/>
                <w:szCs w:val="20"/>
              </w:rPr>
              <w:t>&gt; 6 weeks</w:t>
            </w:r>
          </w:p>
        </w:tc>
        <w:tc>
          <w:tcPr>
            <w:tcW w:w="4968" w:type="dxa"/>
            <w:shd w:val="clear" w:color="auto" w:fill="auto"/>
          </w:tcPr>
          <w:p w:rsidR="00E73481" w:rsidRPr="001656DE" w:rsidRDefault="00E73481" w:rsidP="00E50A7F">
            <w:pPr>
              <w:spacing w:line="360" w:lineRule="auto"/>
              <w:jc w:val="both"/>
              <w:rPr>
                <w:rFonts w:ascii="Calibri" w:hAnsi="Calibri" w:cs="Calibri"/>
                <w:bCs/>
                <w:sz w:val="20"/>
                <w:szCs w:val="20"/>
              </w:rPr>
            </w:pPr>
            <w:r w:rsidRPr="001656DE">
              <w:rPr>
                <w:rFonts w:ascii="Calibri" w:hAnsi="Calibri" w:cs="Calibri"/>
                <w:bCs/>
                <w:sz w:val="20"/>
                <w:szCs w:val="20"/>
              </w:rPr>
              <w:t xml:space="preserve">± </w:t>
            </w:r>
            <w:r>
              <w:rPr>
                <w:rFonts w:ascii="Calibri" w:hAnsi="Calibri" w:cs="Calibri"/>
                <w:bCs/>
                <w:sz w:val="20"/>
                <w:szCs w:val="20"/>
              </w:rPr>
              <w:t>7</w:t>
            </w:r>
            <w:r w:rsidRPr="001656DE">
              <w:rPr>
                <w:rFonts w:ascii="Calibri" w:hAnsi="Calibri" w:cs="Calibri"/>
                <w:bCs/>
                <w:sz w:val="20"/>
                <w:szCs w:val="20"/>
              </w:rPr>
              <w:t xml:space="preserve"> days</w:t>
            </w:r>
          </w:p>
        </w:tc>
      </w:tr>
    </w:tbl>
    <w:p w:rsidR="00E73481" w:rsidRDefault="00E73481" w:rsidP="00E73481">
      <w:pPr>
        <w:spacing w:line="360" w:lineRule="auto"/>
        <w:ind w:left="360"/>
        <w:jc w:val="both"/>
        <w:rPr>
          <w:rFonts w:ascii="Calibri" w:hAnsi="Calibri" w:cs="Calibri"/>
          <w:bCs/>
          <w:sz w:val="22"/>
          <w:szCs w:val="22"/>
        </w:rPr>
      </w:pPr>
    </w:p>
    <w:p w:rsidR="00E73481" w:rsidRDefault="00E73481" w:rsidP="00E73481">
      <w:pPr>
        <w:numPr>
          <w:ilvl w:val="1"/>
          <w:numId w:val="1"/>
        </w:numPr>
        <w:spacing w:line="360" w:lineRule="auto"/>
        <w:jc w:val="both"/>
        <w:rPr>
          <w:rFonts w:ascii="Calibri" w:hAnsi="Calibri" w:cs="Calibri"/>
          <w:bCs/>
          <w:sz w:val="22"/>
          <w:szCs w:val="22"/>
        </w:rPr>
      </w:pPr>
      <w:r>
        <w:rPr>
          <w:rFonts w:ascii="Calibri" w:hAnsi="Calibri" w:cs="Calibri"/>
          <w:bCs/>
          <w:sz w:val="22"/>
          <w:szCs w:val="22"/>
        </w:rPr>
        <w:t>Any documentation relating to non-compliance will be filed in the ISF.</w:t>
      </w:r>
    </w:p>
    <w:p w:rsidR="00E73481" w:rsidRPr="001624E6" w:rsidRDefault="00E73481" w:rsidP="00E73481">
      <w:pPr>
        <w:spacing w:line="360" w:lineRule="auto"/>
        <w:ind w:left="360"/>
        <w:jc w:val="both"/>
        <w:rPr>
          <w:rFonts w:ascii="Calibri" w:hAnsi="Calibri" w:cs="Calibri"/>
          <w:b/>
          <w:bCs/>
          <w:sz w:val="22"/>
          <w:szCs w:val="22"/>
        </w:rPr>
      </w:pPr>
    </w:p>
    <w:p w:rsidR="00E73481" w:rsidRPr="00465596" w:rsidRDefault="00E73481" w:rsidP="00E73481">
      <w:pPr>
        <w:numPr>
          <w:ilvl w:val="0"/>
          <w:numId w:val="1"/>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E73481" w:rsidRPr="002867AA" w:rsidTr="00E50A7F">
        <w:tc>
          <w:tcPr>
            <w:tcW w:w="1074" w:type="dxa"/>
          </w:tcPr>
          <w:p w:rsidR="00E73481" w:rsidRPr="007719C9" w:rsidRDefault="00E7348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E73481" w:rsidRPr="007719C9" w:rsidRDefault="00E7348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E73481" w:rsidRPr="007719C9" w:rsidRDefault="00E7348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E73481" w:rsidRPr="007719C9" w:rsidRDefault="00E73481"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E73481" w:rsidRPr="002867AA" w:rsidTr="00E50A7F">
        <w:tc>
          <w:tcPr>
            <w:tcW w:w="1074" w:type="dxa"/>
          </w:tcPr>
          <w:p w:rsidR="00E73481" w:rsidRPr="007719C9" w:rsidRDefault="00E73481" w:rsidP="00E50A7F">
            <w:pPr>
              <w:pStyle w:val="ListParagraph"/>
              <w:spacing w:line="360" w:lineRule="auto"/>
              <w:ind w:left="0"/>
              <w:jc w:val="center"/>
              <w:rPr>
                <w:rFonts w:ascii="Calibri" w:hAnsi="Calibri" w:cs="Calibri"/>
                <w:sz w:val="16"/>
                <w:szCs w:val="16"/>
              </w:rPr>
            </w:pPr>
          </w:p>
        </w:tc>
        <w:tc>
          <w:tcPr>
            <w:tcW w:w="845" w:type="dxa"/>
          </w:tcPr>
          <w:p w:rsidR="00E73481" w:rsidRPr="007719C9" w:rsidRDefault="00E73481" w:rsidP="00E50A7F">
            <w:pPr>
              <w:pStyle w:val="ListParagraph"/>
              <w:spacing w:line="360" w:lineRule="auto"/>
              <w:ind w:left="0"/>
              <w:rPr>
                <w:rFonts w:ascii="Calibri" w:hAnsi="Calibri" w:cs="Calibri"/>
                <w:sz w:val="16"/>
                <w:szCs w:val="16"/>
              </w:rPr>
            </w:pPr>
          </w:p>
        </w:tc>
        <w:tc>
          <w:tcPr>
            <w:tcW w:w="919" w:type="dxa"/>
          </w:tcPr>
          <w:p w:rsidR="00E73481" w:rsidRPr="007719C9" w:rsidRDefault="00E73481" w:rsidP="00E50A7F">
            <w:pPr>
              <w:pStyle w:val="ListParagraph"/>
              <w:spacing w:line="360" w:lineRule="auto"/>
              <w:ind w:left="0"/>
              <w:rPr>
                <w:rFonts w:ascii="Calibri" w:hAnsi="Calibri" w:cs="Calibri"/>
                <w:sz w:val="16"/>
                <w:szCs w:val="16"/>
              </w:rPr>
            </w:pPr>
          </w:p>
        </w:tc>
        <w:tc>
          <w:tcPr>
            <w:tcW w:w="5897" w:type="dxa"/>
          </w:tcPr>
          <w:p w:rsidR="00E73481" w:rsidRPr="007719C9" w:rsidRDefault="00E73481" w:rsidP="00E50A7F">
            <w:pPr>
              <w:pStyle w:val="ListParagraph"/>
              <w:spacing w:line="360" w:lineRule="auto"/>
              <w:ind w:left="0"/>
              <w:rPr>
                <w:rFonts w:ascii="Calibri" w:hAnsi="Calibri" w:cs="Calibri"/>
                <w:sz w:val="16"/>
                <w:szCs w:val="16"/>
              </w:rPr>
            </w:pPr>
          </w:p>
        </w:tc>
      </w:tr>
      <w:tr w:rsidR="00E73481" w:rsidRPr="002867AA" w:rsidTr="00E50A7F">
        <w:tc>
          <w:tcPr>
            <w:tcW w:w="1074" w:type="dxa"/>
          </w:tcPr>
          <w:p w:rsidR="00E73481" w:rsidRDefault="00E73481" w:rsidP="00E50A7F">
            <w:pPr>
              <w:pStyle w:val="ListParagraph"/>
              <w:spacing w:line="360" w:lineRule="auto"/>
              <w:ind w:left="0"/>
              <w:jc w:val="center"/>
              <w:rPr>
                <w:rFonts w:ascii="Calibri" w:hAnsi="Calibri" w:cs="Calibri"/>
                <w:sz w:val="16"/>
                <w:szCs w:val="16"/>
              </w:rPr>
            </w:pPr>
          </w:p>
        </w:tc>
        <w:tc>
          <w:tcPr>
            <w:tcW w:w="845" w:type="dxa"/>
          </w:tcPr>
          <w:p w:rsidR="00E73481" w:rsidRDefault="00E73481" w:rsidP="00E50A7F">
            <w:pPr>
              <w:pStyle w:val="ListParagraph"/>
              <w:spacing w:line="360" w:lineRule="auto"/>
              <w:ind w:left="0"/>
              <w:rPr>
                <w:rFonts w:ascii="Calibri" w:hAnsi="Calibri" w:cs="Calibri"/>
                <w:sz w:val="16"/>
                <w:szCs w:val="16"/>
              </w:rPr>
            </w:pPr>
          </w:p>
        </w:tc>
        <w:tc>
          <w:tcPr>
            <w:tcW w:w="919" w:type="dxa"/>
          </w:tcPr>
          <w:p w:rsidR="00E73481" w:rsidRDefault="00E73481" w:rsidP="00E50A7F">
            <w:pPr>
              <w:pStyle w:val="ListParagraph"/>
              <w:spacing w:line="360" w:lineRule="auto"/>
              <w:ind w:left="0"/>
              <w:rPr>
                <w:rFonts w:ascii="Calibri" w:hAnsi="Calibri" w:cs="Calibri"/>
                <w:sz w:val="16"/>
                <w:szCs w:val="16"/>
              </w:rPr>
            </w:pPr>
          </w:p>
        </w:tc>
        <w:tc>
          <w:tcPr>
            <w:tcW w:w="5897" w:type="dxa"/>
          </w:tcPr>
          <w:p w:rsidR="00E73481" w:rsidRDefault="00E73481" w:rsidP="00E50A7F">
            <w:pPr>
              <w:pStyle w:val="ListParagraph"/>
              <w:spacing w:line="360" w:lineRule="auto"/>
              <w:ind w:left="0"/>
              <w:rPr>
                <w:rFonts w:ascii="Calibri" w:hAnsi="Calibri" w:cs="Calibri"/>
                <w:sz w:val="16"/>
                <w:szCs w:val="16"/>
              </w:rPr>
            </w:pPr>
          </w:p>
        </w:tc>
      </w:tr>
      <w:tr w:rsidR="00E73481" w:rsidRPr="002867AA" w:rsidTr="00E50A7F">
        <w:tc>
          <w:tcPr>
            <w:tcW w:w="1074" w:type="dxa"/>
          </w:tcPr>
          <w:p w:rsidR="00E73481" w:rsidRDefault="00E73481" w:rsidP="00E50A7F">
            <w:pPr>
              <w:pStyle w:val="ListParagraph"/>
              <w:spacing w:line="360" w:lineRule="auto"/>
              <w:ind w:left="0"/>
              <w:jc w:val="center"/>
              <w:rPr>
                <w:rFonts w:ascii="Calibri" w:hAnsi="Calibri" w:cs="Calibri"/>
                <w:sz w:val="16"/>
                <w:szCs w:val="16"/>
              </w:rPr>
            </w:pPr>
          </w:p>
        </w:tc>
        <w:tc>
          <w:tcPr>
            <w:tcW w:w="845" w:type="dxa"/>
          </w:tcPr>
          <w:p w:rsidR="00E73481" w:rsidRPr="007719C9" w:rsidRDefault="00E73481" w:rsidP="00E50A7F">
            <w:pPr>
              <w:pStyle w:val="ListParagraph"/>
              <w:spacing w:line="360" w:lineRule="auto"/>
              <w:ind w:left="0"/>
              <w:rPr>
                <w:rFonts w:ascii="Calibri" w:hAnsi="Calibri" w:cs="Calibri"/>
                <w:sz w:val="16"/>
                <w:szCs w:val="16"/>
              </w:rPr>
            </w:pPr>
          </w:p>
        </w:tc>
        <w:tc>
          <w:tcPr>
            <w:tcW w:w="919" w:type="dxa"/>
          </w:tcPr>
          <w:p w:rsidR="00E73481" w:rsidRPr="007719C9" w:rsidRDefault="00E73481" w:rsidP="00E50A7F">
            <w:pPr>
              <w:pStyle w:val="ListParagraph"/>
              <w:spacing w:line="360" w:lineRule="auto"/>
              <w:ind w:left="0"/>
              <w:rPr>
                <w:rFonts w:ascii="Calibri" w:hAnsi="Calibri" w:cs="Calibri"/>
                <w:sz w:val="16"/>
                <w:szCs w:val="16"/>
              </w:rPr>
            </w:pPr>
          </w:p>
        </w:tc>
        <w:tc>
          <w:tcPr>
            <w:tcW w:w="5897" w:type="dxa"/>
          </w:tcPr>
          <w:p w:rsidR="00E73481" w:rsidRPr="007719C9" w:rsidRDefault="00E73481" w:rsidP="00E50A7F">
            <w:pPr>
              <w:pStyle w:val="ListParagraph"/>
              <w:spacing w:line="360" w:lineRule="auto"/>
              <w:ind w:left="0"/>
              <w:rPr>
                <w:rFonts w:ascii="Calibri" w:hAnsi="Calibri" w:cs="Calibri"/>
                <w:sz w:val="16"/>
                <w:szCs w:val="16"/>
              </w:rPr>
            </w:pPr>
          </w:p>
        </w:tc>
      </w:tr>
      <w:tr w:rsidR="00E73481" w:rsidRPr="002867AA" w:rsidTr="00E50A7F">
        <w:tc>
          <w:tcPr>
            <w:tcW w:w="1074" w:type="dxa"/>
          </w:tcPr>
          <w:p w:rsidR="00E73481" w:rsidRDefault="00E73481" w:rsidP="00E50A7F">
            <w:pPr>
              <w:pStyle w:val="ListParagraph"/>
              <w:spacing w:line="360" w:lineRule="auto"/>
              <w:ind w:left="0"/>
              <w:jc w:val="center"/>
              <w:rPr>
                <w:rFonts w:ascii="Calibri" w:hAnsi="Calibri" w:cs="Calibri"/>
                <w:sz w:val="16"/>
                <w:szCs w:val="16"/>
              </w:rPr>
            </w:pPr>
          </w:p>
        </w:tc>
        <w:tc>
          <w:tcPr>
            <w:tcW w:w="845" w:type="dxa"/>
          </w:tcPr>
          <w:p w:rsidR="00E73481" w:rsidRDefault="00E73481" w:rsidP="00E50A7F">
            <w:pPr>
              <w:pStyle w:val="ListParagraph"/>
              <w:spacing w:line="360" w:lineRule="auto"/>
              <w:ind w:left="0"/>
              <w:rPr>
                <w:rFonts w:ascii="Calibri" w:hAnsi="Calibri" w:cs="Calibri"/>
                <w:sz w:val="16"/>
                <w:szCs w:val="16"/>
              </w:rPr>
            </w:pPr>
          </w:p>
        </w:tc>
        <w:tc>
          <w:tcPr>
            <w:tcW w:w="919" w:type="dxa"/>
          </w:tcPr>
          <w:p w:rsidR="00E73481" w:rsidRDefault="00E73481" w:rsidP="00E50A7F">
            <w:pPr>
              <w:pStyle w:val="ListParagraph"/>
              <w:spacing w:line="360" w:lineRule="auto"/>
              <w:ind w:left="0"/>
              <w:rPr>
                <w:rFonts w:ascii="Calibri" w:hAnsi="Calibri" w:cs="Calibri"/>
                <w:sz w:val="16"/>
                <w:szCs w:val="16"/>
              </w:rPr>
            </w:pPr>
          </w:p>
        </w:tc>
        <w:tc>
          <w:tcPr>
            <w:tcW w:w="5897" w:type="dxa"/>
          </w:tcPr>
          <w:p w:rsidR="00E73481" w:rsidRDefault="00E73481" w:rsidP="00E50A7F">
            <w:pPr>
              <w:pStyle w:val="ListParagraph"/>
              <w:spacing w:line="360" w:lineRule="auto"/>
              <w:ind w:left="0"/>
              <w:rPr>
                <w:rFonts w:ascii="Calibri" w:hAnsi="Calibri" w:cs="Calibri"/>
                <w:sz w:val="16"/>
                <w:szCs w:val="16"/>
              </w:rPr>
            </w:pPr>
          </w:p>
        </w:tc>
      </w:tr>
    </w:tbl>
    <w:p w:rsidR="00E73481" w:rsidRPr="005930AF" w:rsidRDefault="00E73481" w:rsidP="00E73481">
      <w:pPr>
        <w:spacing w:line="360" w:lineRule="auto"/>
        <w:jc w:val="both"/>
        <w:rPr>
          <w:rFonts w:ascii="Calibri" w:hAnsi="Calibri" w:cs="Calibri"/>
          <w:b/>
          <w:bCs/>
          <w:color w:val="FF0000"/>
          <w:sz w:val="22"/>
          <w:szCs w:val="22"/>
        </w:rPr>
      </w:pPr>
    </w:p>
    <w:p w:rsidR="00477D1E" w:rsidRDefault="00C87FD3"/>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D3" w:rsidRDefault="00C87FD3" w:rsidP="00986312">
      <w:r>
        <w:separator/>
      </w:r>
    </w:p>
  </w:endnote>
  <w:endnote w:type="continuationSeparator" w:id="0">
    <w:p w:rsidR="00C87FD3" w:rsidRDefault="00C87FD3" w:rsidP="0098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C87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C87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12" w:rsidRPr="00561D40" w:rsidRDefault="00986312" w:rsidP="00986312">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2C4E4843" wp14:editId="52370147">
              <wp:simplePos x="0" y="0"/>
              <wp:positionH relativeFrom="column">
                <wp:posOffset>2451735</wp:posOffset>
              </wp:positionH>
              <wp:positionV relativeFrom="paragraph">
                <wp:posOffset>213360</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986312" w:rsidRPr="00897F3E" w:rsidRDefault="00986312" w:rsidP="00986312">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" filled="f" stroked="f" strokeweight=".5pt">
              <v:textbox>
                <w:txbxContent>
                  <w:p w:rsidR="00986312" w:rsidRPr="00897F3E" w:rsidRDefault="00986312" w:rsidP="00986312">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2338D534" wp14:editId="5657E3F0">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04D042EF" wp14:editId="44A48F02">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780F24CD" wp14:editId="7803CDF2">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4500B852" wp14:editId="47AC01EC">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2CD2964C" wp14:editId="25DCBA1A">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986312" w:rsidRPr="0021768B" w:rsidRDefault="00986312" w:rsidP="0098631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1FDC3EC8" wp14:editId="5F612F22">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986312" w:rsidRDefault="00986312" w:rsidP="00986312">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C87FD3">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C87FD3">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D3" w:rsidRDefault="00C87FD3" w:rsidP="00986312">
      <w:r>
        <w:separator/>
      </w:r>
    </w:p>
  </w:footnote>
  <w:footnote w:type="continuationSeparator" w:id="0">
    <w:p w:rsidR="00C87FD3" w:rsidRDefault="00C87FD3" w:rsidP="0098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C87F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C87F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986312" w:rsidRPr="00897F3E" w:rsidTr="00E50A7F">
      <w:trPr>
        <w:trHeight w:val="699"/>
      </w:trPr>
      <w:tc>
        <w:tcPr>
          <w:tcW w:w="1668" w:type="dxa"/>
        </w:tcPr>
        <w:p w:rsidR="00986312" w:rsidRPr="00897F3E" w:rsidRDefault="00986312"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986312" w:rsidRPr="00897F3E" w:rsidRDefault="00986312" w:rsidP="00E50A7F">
          <w:pPr>
            <w:rPr>
              <w:rFonts w:asciiTheme="minorHAnsi" w:hAnsiTheme="minorHAnsi"/>
              <w:b/>
              <w:sz w:val="20"/>
              <w:szCs w:val="20"/>
            </w:rPr>
          </w:pPr>
          <w:r>
            <w:rPr>
              <w:rFonts w:asciiTheme="minorHAnsi" w:hAnsiTheme="minorHAnsi"/>
              <w:b/>
              <w:sz w:val="22"/>
              <w:szCs w:val="22"/>
            </w:rPr>
            <w:t>Non-compliance to protocol SOP</w:t>
          </w:r>
        </w:p>
      </w:tc>
    </w:tr>
    <w:tr w:rsidR="00986312" w:rsidRPr="00897F3E" w:rsidTr="00E50A7F">
      <w:trPr>
        <w:trHeight w:val="252"/>
      </w:trPr>
      <w:tc>
        <w:tcPr>
          <w:tcW w:w="1668" w:type="dxa"/>
        </w:tcPr>
        <w:p w:rsidR="00986312" w:rsidRPr="00897F3E" w:rsidRDefault="00986312"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986312" w:rsidRPr="00897F3E" w:rsidRDefault="00986312" w:rsidP="00E50A7F">
          <w:pPr>
            <w:rPr>
              <w:rFonts w:asciiTheme="minorHAnsi" w:hAnsiTheme="minorHAnsi"/>
              <w:b/>
              <w:sz w:val="20"/>
              <w:szCs w:val="20"/>
            </w:rPr>
          </w:pPr>
          <w:r w:rsidRPr="00897F3E">
            <w:rPr>
              <w:rFonts w:asciiTheme="minorHAnsi" w:hAnsiTheme="minorHAnsi"/>
              <w:b/>
              <w:sz w:val="20"/>
              <w:szCs w:val="20"/>
            </w:rPr>
            <w:t xml:space="preserve"> 01</w:t>
          </w:r>
        </w:p>
      </w:tc>
    </w:tr>
    <w:tr w:rsidR="00986312" w:rsidRPr="00897F3E" w:rsidTr="00E50A7F">
      <w:trPr>
        <w:trHeight w:val="252"/>
      </w:trPr>
      <w:tc>
        <w:tcPr>
          <w:tcW w:w="1668" w:type="dxa"/>
        </w:tcPr>
        <w:p w:rsidR="00986312" w:rsidRPr="00897F3E" w:rsidRDefault="00986312"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986312" w:rsidRPr="00897F3E" w:rsidRDefault="00986312" w:rsidP="00E50A7F">
          <w:pPr>
            <w:rPr>
              <w:rFonts w:asciiTheme="minorHAnsi" w:hAnsiTheme="minorHAnsi"/>
              <w:b/>
              <w:sz w:val="20"/>
              <w:szCs w:val="20"/>
            </w:rPr>
          </w:pPr>
        </w:p>
      </w:tc>
    </w:tr>
  </w:tbl>
  <w:p w:rsidR="00FC3D31" w:rsidRDefault="00C87FD3"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F16038"/>
    <w:multiLevelType w:val="hybridMultilevel"/>
    <w:tmpl w:val="273EB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81"/>
    <w:rsid w:val="00600DE8"/>
    <w:rsid w:val="00986312"/>
    <w:rsid w:val="00C87FD3"/>
    <w:rsid w:val="00E73481"/>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8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86312"/>
    <w:pPr>
      <w:keepNext/>
      <w:jc w:val="both"/>
      <w:outlineLvl w:val="2"/>
    </w:pPr>
    <w:rPr>
      <w:b/>
      <w:bCs/>
      <w:lang w:val="en-US"/>
    </w:rPr>
  </w:style>
  <w:style w:type="paragraph" w:styleId="Heading4">
    <w:name w:val="heading 4"/>
    <w:basedOn w:val="Normal"/>
    <w:next w:val="Normal"/>
    <w:link w:val="Heading4Char"/>
    <w:qFormat/>
    <w:rsid w:val="0098631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481"/>
    <w:pPr>
      <w:tabs>
        <w:tab w:val="center" w:pos="4153"/>
        <w:tab w:val="right" w:pos="8306"/>
      </w:tabs>
    </w:pPr>
  </w:style>
  <w:style w:type="character" w:customStyle="1" w:styleId="HeaderChar">
    <w:name w:val="Header Char"/>
    <w:basedOn w:val="DefaultParagraphFont"/>
    <w:link w:val="Header"/>
    <w:rsid w:val="00E73481"/>
    <w:rPr>
      <w:rFonts w:ascii="Times New Roman" w:eastAsia="Times New Roman" w:hAnsi="Times New Roman" w:cs="Times New Roman"/>
      <w:sz w:val="24"/>
      <w:szCs w:val="24"/>
    </w:rPr>
  </w:style>
  <w:style w:type="paragraph" w:styleId="Footer">
    <w:name w:val="footer"/>
    <w:basedOn w:val="Normal"/>
    <w:link w:val="FooterChar"/>
    <w:uiPriority w:val="99"/>
    <w:rsid w:val="00E73481"/>
    <w:pPr>
      <w:tabs>
        <w:tab w:val="center" w:pos="4153"/>
        <w:tab w:val="right" w:pos="8306"/>
      </w:tabs>
    </w:pPr>
  </w:style>
  <w:style w:type="character" w:customStyle="1" w:styleId="FooterChar">
    <w:name w:val="Footer Char"/>
    <w:basedOn w:val="DefaultParagraphFont"/>
    <w:link w:val="Footer"/>
    <w:uiPriority w:val="99"/>
    <w:rsid w:val="00E73481"/>
    <w:rPr>
      <w:rFonts w:ascii="Times New Roman" w:eastAsia="Times New Roman" w:hAnsi="Times New Roman" w:cs="Times New Roman"/>
      <w:sz w:val="24"/>
      <w:szCs w:val="24"/>
    </w:rPr>
  </w:style>
  <w:style w:type="character" w:styleId="PageNumber">
    <w:name w:val="page number"/>
    <w:basedOn w:val="DefaultParagraphFont"/>
    <w:rsid w:val="00E73481"/>
  </w:style>
  <w:style w:type="paragraph" w:styleId="ListParagraph">
    <w:name w:val="List Paragraph"/>
    <w:basedOn w:val="Normal"/>
    <w:uiPriority w:val="34"/>
    <w:qFormat/>
    <w:rsid w:val="00E73481"/>
    <w:pPr>
      <w:ind w:left="720"/>
    </w:pPr>
  </w:style>
  <w:style w:type="character" w:customStyle="1" w:styleId="Heading3Char">
    <w:name w:val="Heading 3 Char"/>
    <w:basedOn w:val="DefaultParagraphFont"/>
    <w:link w:val="Heading3"/>
    <w:rsid w:val="0098631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8631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6312"/>
    <w:rPr>
      <w:rFonts w:ascii="Tahoma" w:hAnsi="Tahoma" w:cs="Tahoma"/>
      <w:sz w:val="16"/>
      <w:szCs w:val="16"/>
    </w:rPr>
  </w:style>
  <w:style w:type="character" w:customStyle="1" w:styleId="BalloonTextChar">
    <w:name w:val="Balloon Text Char"/>
    <w:basedOn w:val="DefaultParagraphFont"/>
    <w:link w:val="BalloonText"/>
    <w:uiPriority w:val="99"/>
    <w:semiHidden/>
    <w:rsid w:val="00986312"/>
    <w:rPr>
      <w:rFonts w:ascii="Tahoma" w:eastAsia="Times New Roman" w:hAnsi="Tahoma" w:cs="Tahoma"/>
      <w:sz w:val="16"/>
      <w:szCs w:val="16"/>
    </w:rPr>
  </w:style>
  <w:style w:type="table" w:styleId="TableGrid">
    <w:name w:val="Table Grid"/>
    <w:basedOn w:val="TableNormal"/>
    <w:uiPriority w:val="59"/>
    <w:rsid w:val="0098631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86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8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86312"/>
    <w:pPr>
      <w:keepNext/>
      <w:jc w:val="both"/>
      <w:outlineLvl w:val="2"/>
    </w:pPr>
    <w:rPr>
      <w:b/>
      <w:bCs/>
      <w:lang w:val="en-US"/>
    </w:rPr>
  </w:style>
  <w:style w:type="paragraph" w:styleId="Heading4">
    <w:name w:val="heading 4"/>
    <w:basedOn w:val="Normal"/>
    <w:next w:val="Normal"/>
    <w:link w:val="Heading4Char"/>
    <w:qFormat/>
    <w:rsid w:val="0098631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3481"/>
    <w:pPr>
      <w:tabs>
        <w:tab w:val="center" w:pos="4153"/>
        <w:tab w:val="right" w:pos="8306"/>
      </w:tabs>
    </w:pPr>
  </w:style>
  <w:style w:type="character" w:customStyle="1" w:styleId="HeaderChar">
    <w:name w:val="Header Char"/>
    <w:basedOn w:val="DefaultParagraphFont"/>
    <w:link w:val="Header"/>
    <w:rsid w:val="00E73481"/>
    <w:rPr>
      <w:rFonts w:ascii="Times New Roman" w:eastAsia="Times New Roman" w:hAnsi="Times New Roman" w:cs="Times New Roman"/>
      <w:sz w:val="24"/>
      <w:szCs w:val="24"/>
    </w:rPr>
  </w:style>
  <w:style w:type="paragraph" w:styleId="Footer">
    <w:name w:val="footer"/>
    <w:basedOn w:val="Normal"/>
    <w:link w:val="FooterChar"/>
    <w:uiPriority w:val="99"/>
    <w:rsid w:val="00E73481"/>
    <w:pPr>
      <w:tabs>
        <w:tab w:val="center" w:pos="4153"/>
        <w:tab w:val="right" w:pos="8306"/>
      </w:tabs>
    </w:pPr>
  </w:style>
  <w:style w:type="character" w:customStyle="1" w:styleId="FooterChar">
    <w:name w:val="Footer Char"/>
    <w:basedOn w:val="DefaultParagraphFont"/>
    <w:link w:val="Footer"/>
    <w:uiPriority w:val="99"/>
    <w:rsid w:val="00E73481"/>
    <w:rPr>
      <w:rFonts w:ascii="Times New Roman" w:eastAsia="Times New Roman" w:hAnsi="Times New Roman" w:cs="Times New Roman"/>
      <w:sz w:val="24"/>
      <w:szCs w:val="24"/>
    </w:rPr>
  </w:style>
  <w:style w:type="character" w:styleId="PageNumber">
    <w:name w:val="page number"/>
    <w:basedOn w:val="DefaultParagraphFont"/>
    <w:rsid w:val="00E73481"/>
  </w:style>
  <w:style w:type="paragraph" w:styleId="ListParagraph">
    <w:name w:val="List Paragraph"/>
    <w:basedOn w:val="Normal"/>
    <w:uiPriority w:val="34"/>
    <w:qFormat/>
    <w:rsid w:val="00E73481"/>
    <w:pPr>
      <w:ind w:left="720"/>
    </w:pPr>
  </w:style>
  <w:style w:type="character" w:customStyle="1" w:styleId="Heading3Char">
    <w:name w:val="Heading 3 Char"/>
    <w:basedOn w:val="DefaultParagraphFont"/>
    <w:link w:val="Heading3"/>
    <w:rsid w:val="0098631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98631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86312"/>
    <w:rPr>
      <w:rFonts w:ascii="Tahoma" w:hAnsi="Tahoma" w:cs="Tahoma"/>
      <w:sz w:val="16"/>
      <w:szCs w:val="16"/>
    </w:rPr>
  </w:style>
  <w:style w:type="character" w:customStyle="1" w:styleId="BalloonTextChar">
    <w:name w:val="Balloon Text Char"/>
    <w:basedOn w:val="DefaultParagraphFont"/>
    <w:link w:val="BalloonText"/>
    <w:uiPriority w:val="99"/>
    <w:semiHidden/>
    <w:rsid w:val="00986312"/>
    <w:rPr>
      <w:rFonts w:ascii="Tahoma" w:eastAsia="Times New Roman" w:hAnsi="Tahoma" w:cs="Tahoma"/>
      <w:sz w:val="16"/>
      <w:szCs w:val="16"/>
    </w:rPr>
  </w:style>
  <w:style w:type="table" w:styleId="TableGrid">
    <w:name w:val="Table Grid"/>
    <w:basedOn w:val="TableNormal"/>
    <w:uiPriority w:val="59"/>
    <w:rsid w:val="0098631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986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2</cp:revision>
  <dcterms:created xsi:type="dcterms:W3CDTF">2015-08-18T14:48:00Z</dcterms:created>
  <dcterms:modified xsi:type="dcterms:W3CDTF">2015-08-18T14:50:00Z</dcterms:modified>
</cp:coreProperties>
</file>